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left="0" w:leftChars="0" w:right="0" w:rightChars="0"/>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keepNext w:val="0"/>
        <w:keepLines w:val="0"/>
        <w:pageBreakBefore w:val="0"/>
        <w:widowControl w:val="0"/>
        <w:kinsoku/>
        <w:wordWrap/>
        <w:overflowPunct/>
        <w:topLinePunct w:val="0"/>
        <w:autoSpaceDE/>
        <w:autoSpaceDN/>
        <w:bidi w:val="0"/>
        <w:spacing w:line="560" w:lineRule="exact"/>
        <w:ind w:left="0" w:leftChars="0" w:right="0" w:rightChars="0"/>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湖南省药学专业(非临床单位)中初级职称</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申报基本条件</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一、学历（学位）与资历要求</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（一）主管药师（主管中药师)</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1.获得药学类、中药学类及相关专业博士学位。</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2.获得药学类、中药学类或相关专业硕士学位或双学士学位，取得药师（中药师）职称，并被聘任2年以上。</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3.获得药学类、中药学类或相关专业大学本科学历或技工院校预备技师（技师）班毕业，取得药师（中药师）职称，并被聘任4年以上。</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4.获得药学类、中药学类或相关专业大学专科学历或技工院</w:t>
      </w:r>
      <w:r>
        <w:rPr>
          <w:rFonts w:hint="eastAsia" w:ascii="仿宋_GB2312" w:hAnsi="仿宋_GB2312" w:eastAsia="仿宋_GB2312" w:cs="仿宋_GB2312"/>
          <w:color w:val="000000"/>
          <w:spacing w:val="-6"/>
          <w:sz w:val="32"/>
          <w:szCs w:val="32"/>
        </w:rPr>
        <w:t>校高级技工班毕业，取得药师（中药师）职称，并被聘任6年以上。</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5.获得药学类、中药学类或相关专业中专学历或技工院校中级技工班毕业，取得药师（中药师）职称，并被聘任7年以上。</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6.取得执业药师职业资格，直接认可其具备主管药师或主管中药师职称。</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（二）药师(中药师)</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1.获得药学类、中药学类或相关专业大学本科以上学历或技工院校预备技师（技师）班毕业。</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2.获得药学类、中药学类或相关专业大学专科学历或技工院校高级技工班毕业，从事（中）药学相关专业工作3年以上。</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3.获得药学类、中药学类或相关专业中专学历或技工院校中级技工班毕业，从事（中）药学相关专业工作6年以上。</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（三）</w:t>
      </w:r>
      <w:r>
        <w:rPr>
          <w:rFonts w:hint="eastAsia" w:ascii="仿宋_GB2312" w:hAnsi="仿宋_GB2312" w:eastAsia="仿宋_GB2312" w:cs="仿宋_GB2312"/>
          <w:color w:val="000000"/>
          <w:sz w:val="32"/>
          <w:szCs w:val="32"/>
        </w:rPr>
        <w:t>学历（学位）要求是指国家承认的药学类及相关专业学历。所称药学类相关专业是指：医学（药学类除外）、化学、生物及生物科学、制药工程、应用药学、药品检验检测、食品药品监督管理、食品（所学专业课程中须包含化学、生物化学等专业课）等专业。学历（学位）证书上注明“全日制”、“脱产”字样的，归为全脱产类学历，此类学历人员聘期须减去学习时间；学历（学位）证书上注明“在职”、“函授”字样的，归为在职类学历，此类人员聘期不受影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3"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lang w:eastAsia="zh-CN"/>
        </w:rPr>
        <w:t>（四）</w:t>
      </w:r>
      <w:r>
        <w:rPr>
          <w:rFonts w:hint="eastAsia" w:ascii="仿宋_GB2312" w:hAnsi="仿宋_GB2312" w:eastAsia="仿宋_GB2312" w:cs="仿宋_GB2312"/>
          <w:color w:val="000000"/>
          <w:sz w:val="32"/>
          <w:szCs w:val="32"/>
        </w:rPr>
        <w:t>根据《湖南省创新民营企业专业技术人才职称评审10条措施》精神，民营企业专技人才未获得中级职称，但成绩突出、贡献卓著的，根据其从事专技工作时间，在满足相应系列(专业)晋升要求的基础上，经由民营企业考核推荐，可比照我省同类专技人才正常申报年限超出2年，直接申报参评中级职称。</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sz w:val="32"/>
          <w:szCs w:val="32"/>
          <w:lang w:eastAsia="zh-CN"/>
        </w:rPr>
        <w:t>（五）</w:t>
      </w:r>
      <w:r>
        <w:rPr>
          <w:rFonts w:hint="eastAsia" w:ascii="仿宋_GB2312" w:hAnsi="仿宋_GB2312" w:eastAsia="仿宋_GB2312" w:cs="仿宋_GB2312"/>
          <w:color w:val="000000"/>
          <w:sz w:val="32"/>
          <w:szCs w:val="32"/>
        </w:rPr>
        <w:t>具有从业药师资格并按要求参加了继续教育培训的，其自取得从业药师资格以来在涉药岗位工作的年限可视同为药师工作经历，可先申报并取得药师（中药师）初级职称，下一年度起累</w:t>
      </w:r>
      <w:r>
        <w:rPr>
          <w:rFonts w:hint="eastAsia" w:ascii="仿宋_GB2312" w:hAnsi="仿宋_GB2312" w:eastAsia="仿宋_GB2312" w:cs="仿宋_GB2312"/>
          <w:sz w:val="32"/>
          <w:szCs w:val="32"/>
        </w:rPr>
        <w:t>计达到晋升中级资历条件的，可申报主管药师（主管中药师）中级职称。</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Cs/>
          <w:color w:val="000000"/>
          <w:sz w:val="32"/>
          <w:szCs w:val="32"/>
        </w:rPr>
      </w:pPr>
      <w:r>
        <w:rPr>
          <w:rFonts w:hint="eastAsia" w:ascii="黑体" w:hAnsi="黑体" w:eastAsia="黑体" w:cs="黑体"/>
          <w:color w:val="000000"/>
          <w:sz w:val="32"/>
          <w:szCs w:val="32"/>
        </w:rPr>
        <w:t>二、有下列情形之一者，不得申报</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（一）事业单位人员受到行政处分记过或党纪处分严重警告以上处分的，在受处分期间不得申报；</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（二）因涉嫌经济或其它重大问题正在立案审查尚未结案者、违法人员在服刑期间，均不得申报；</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（三）违反其它职能部门规定不得申报参评情形的。</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申报参评人员在当年度确认文件下发前发生不得申报参评情形的，不予发文确认。</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违背诚信承诺、有弄虚作假行为的申报参评人员实行职称评审“一票否决”，取消其申报参评资格；倡导科学精神，坚守道德底线，对违规违纪问题实行“零容忍”，对学术造假实行“一票否决”。对通过弄虚作假、隐瞒歪曲事实真相、不如实填报相关信息、暗箱操作及程序不当等违纪违规行为取得的职称予以撤销。对违纪违规的申报参评人员予以通报，通报结果连续 3个年度提交至相应评委会供评委参考。失信行为记入《个人失信记录表》，放置个人档案留存，纳入信用信息共享平台；情节严重的，通知所在单位按照规定进行党纪、政纪追责处理；涉嫌违法的，追究其法律责任。</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建立健全追溯追责复核机制，无论什么时候，经核查发现申报参评人员有通过提供虚假材料、剽窃学术成果或通过其他不正当手段等违纪违规取得职称的行为，一律撤销其相应职称，据此获得的后续职称或其他权益，也一律一并取消。</w:t>
      </w:r>
      <w:bookmarkStart w:id="0" w:name="_GoBack"/>
      <w:bookmarkEnd w:id="0"/>
    </w:p>
    <w:sectPr>
      <w:footerReference r:id="rId3" w:type="default"/>
      <w:pgSz w:w="11906" w:h="16838"/>
      <w:pgMar w:top="2098" w:right="1474" w:bottom="1984" w:left="1587" w:header="851"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6D5443"/>
    <w:rsid w:val="0A981D5C"/>
    <w:rsid w:val="0E287EC2"/>
    <w:rsid w:val="159968B8"/>
    <w:rsid w:val="1A882CBF"/>
    <w:rsid w:val="1ADC70C0"/>
    <w:rsid w:val="1B476526"/>
    <w:rsid w:val="1F842451"/>
    <w:rsid w:val="245F4D4B"/>
    <w:rsid w:val="2D844CF6"/>
    <w:rsid w:val="3A6D5443"/>
    <w:rsid w:val="41165B78"/>
    <w:rsid w:val="44AC2639"/>
    <w:rsid w:val="47DD301E"/>
    <w:rsid w:val="4E3E3BC1"/>
    <w:rsid w:val="528A40A9"/>
    <w:rsid w:val="55A21B63"/>
    <w:rsid w:val="5A9A1552"/>
    <w:rsid w:val="5C9616DF"/>
    <w:rsid w:val="5D83328E"/>
    <w:rsid w:val="5F3223FC"/>
    <w:rsid w:val="6CFD7CAA"/>
    <w:rsid w:val="73F11FAA"/>
    <w:rsid w:val="74797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kern w:val="0"/>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spacing w:beforeAutospacing="1" w:afterAutospacing="1"/>
      <w:jc w:val="left"/>
    </w:pPr>
    <w:rPr>
      <w:rFonts w:cs="Times New Roman"/>
      <w:kern w:val="0"/>
      <w:sz w:val="24"/>
    </w:rPr>
  </w:style>
  <w:style w:type="character" w:styleId="7">
    <w:name w:val="page number"/>
    <w:basedOn w:val="8"/>
    <w:qFormat/>
    <w:uiPriority w:val="0"/>
  </w:style>
  <w:style w:type="character" w:customStyle="1" w:styleId="8">
    <w:name w:val="默认段落字体1"/>
    <w:semiHidden/>
    <w:qFormat/>
    <w:uiPriority w:val="0"/>
  </w:style>
  <w:style w:type="character" w:customStyle="1" w:styleId="9">
    <w:name w:val="font51"/>
    <w:basedOn w:val="6"/>
    <w:qFormat/>
    <w:uiPriority w:val="0"/>
    <w:rPr>
      <w:rFonts w:hint="eastAsia" w:ascii="黑体" w:hAnsi="宋体" w:eastAsia="黑体" w:cs="黑体"/>
      <w:color w:val="000000"/>
      <w:sz w:val="40"/>
      <w:szCs w:val="40"/>
      <w:u w:val="non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2022-02-11T00:22:00Z</dcterms:created>
  <dc:creator>Administrator</dc:creator>
  <cp:lastModifiedBy>Administrator</cp:lastModifiedBy>
  <cp:lastPrinted>2022-02-17T01:23:00Z</cp:lastPrinted>
  <dcterms:modified xsi:type="dcterms:W3CDTF">2023-08-16T02:20:43Z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DE97014753D24BE49337F0525FF763EA</vt:lpwstr>
  </property>
</Properties>
</file>