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40" w:lineRule="exact"/>
        <w:jc w:val="center"/>
        <w:rPr>
          <w:rFonts w:ascii="方正小标宋_GBK" w:hAnsi="Times New Roman" w:eastAsia="方正小标宋_GBK" w:cs="方正小标宋_GBK"/>
          <w:bCs/>
          <w:sz w:val="36"/>
          <w:szCs w:val="36"/>
        </w:rPr>
      </w:pPr>
      <w:bookmarkStart w:id="2" w:name="_GoBack"/>
      <w:bookmarkEnd w:id="2"/>
      <w:r>
        <w:rPr>
          <w:rFonts w:hint="eastAsia" w:ascii="方正小标宋_GBK" w:hAnsi="Times New Roman" w:eastAsia="方正小标宋_GBK" w:cs="方正小标宋_GBK"/>
          <w:bCs/>
          <w:sz w:val="36"/>
          <w:szCs w:val="36"/>
        </w:rPr>
        <w:t>湘潭市产商品质量监督检验所</w:t>
      </w:r>
    </w:p>
    <w:p>
      <w:pPr>
        <w:tabs>
          <w:tab w:val="left" w:pos="6480"/>
        </w:tabs>
        <w:spacing w:line="540" w:lineRule="exact"/>
        <w:jc w:val="center"/>
        <w:rPr>
          <w:rFonts w:ascii="方正小标宋_GBK" w:eastAsia="方正小标宋_GBK" w:cs="方正小标宋_GBK"/>
          <w:bCs/>
          <w:sz w:val="36"/>
          <w:szCs w:val="36"/>
        </w:rPr>
      </w:pPr>
      <w:r>
        <w:rPr>
          <w:rFonts w:hint="eastAsia" w:ascii="方正小标宋_GBK" w:eastAsia="方正小标宋_GBK" w:cs="方正小标宋_GBK"/>
          <w:bCs/>
          <w:sz w:val="36"/>
          <w:szCs w:val="36"/>
        </w:rPr>
        <w:t>20</w:t>
      </w:r>
      <w:r>
        <w:rPr>
          <w:rFonts w:ascii="方正小标宋_GBK" w:eastAsia="方正小标宋_GBK" w:cs="方正小标宋_GBK"/>
          <w:bCs/>
          <w:sz w:val="36"/>
          <w:szCs w:val="36"/>
        </w:rPr>
        <w:t>2</w:t>
      </w:r>
      <w:r>
        <w:rPr>
          <w:rFonts w:hint="eastAsia" w:ascii="方正小标宋_GBK" w:eastAsia="方正小标宋_GBK" w:cs="方正小标宋_GBK"/>
          <w:bCs/>
          <w:sz w:val="36"/>
          <w:szCs w:val="36"/>
          <w:lang w:val="en-US" w:eastAsia="zh-CN"/>
        </w:rPr>
        <w:t>2</w:t>
      </w:r>
      <w:r>
        <w:rPr>
          <w:rFonts w:hint="eastAsia" w:ascii="方正小标宋_GBK" w:eastAsia="方正小标宋_GBK" w:cs="方正小标宋_GBK"/>
          <w:bCs/>
          <w:sz w:val="36"/>
          <w:szCs w:val="36"/>
        </w:rPr>
        <w:t>年部门整体支出绩效评价报告</w:t>
      </w:r>
    </w:p>
    <w:p>
      <w:pPr>
        <w:tabs>
          <w:tab w:val="left" w:pos="6480"/>
        </w:tabs>
        <w:spacing w:line="540" w:lineRule="exact"/>
        <w:jc w:val="center"/>
        <w:rPr>
          <w:rFonts w:ascii="方正小标宋_GBK" w:eastAsia="方正小标宋_GBK" w:cs="方正小标宋_GBK"/>
          <w:sz w:val="44"/>
          <w:szCs w:val="44"/>
        </w:rPr>
      </w:pPr>
    </w:p>
    <w:tbl>
      <w:tblPr>
        <w:tblStyle w:val="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276"/>
        <w:gridCol w:w="6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46" w:type="dxa"/>
            <w:vMerge w:val="restart"/>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部门概况</w:t>
            </w:r>
          </w:p>
        </w:tc>
        <w:tc>
          <w:tcPr>
            <w:tcW w:w="127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单位</w:t>
            </w:r>
          </w:p>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名称</w:t>
            </w:r>
          </w:p>
        </w:tc>
        <w:tc>
          <w:tcPr>
            <w:tcW w:w="6917" w:type="dxa"/>
            <w:vAlign w:val="center"/>
          </w:tcPr>
          <w:p>
            <w:pPr>
              <w:spacing w:line="360" w:lineRule="auto"/>
              <w:ind w:right="880" w:rightChars="419"/>
              <w:jc w:val="center"/>
              <w:rPr>
                <w:rFonts w:hint="eastAsia" w:ascii="仿宋" w:hAnsi="仿宋" w:eastAsia="仿宋" w:cs="仿宋"/>
                <w:sz w:val="24"/>
                <w:szCs w:val="24"/>
              </w:rPr>
            </w:pPr>
            <w:r>
              <w:rPr>
                <w:rFonts w:hint="eastAsia" w:ascii="仿宋" w:hAnsi="仿宋" w:eastAsia="仿宋" w:cs="仿宋"/>
                <w:b/>
                <w:sz w:val="24"/>
                <w:szCs w:val="24"/>
              </w:rPr>
              <w:t>湘潭市产商品质量监督检验所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46" w:type="dxa"/>
            <w:vMerge w:val="continue"/>
          </w:tcPr>
          <w:p>
            <w:pPr>
              <w:spacing w:line="360" w:lineRule="auto"/>
              <w:rPr>
                <w:rFonts w:hint="eastAsia" w:ascii="仿宋" w:hAnsi="仿宋" w:eastAsia="仿宋" w:cs="仿宋"/>
                <w:sz w:val="24"/>
                <w:szCs w:val="24"/>
              </w:rPr>
            </w:pPr>
          </w:p>
        </w:tc>
        <w:tc>
          <w:tcPr>
            <w:tcW w:w="127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年度预算金额</w:t>
            </w:r>
          </w:p>
        </w:tc>
        <w:tc>
          <w:tcPr>
            <w:tcW w:w="6917" w:type="dxa"/>
            <w:vAlign w:val="center"/>
          </w:tcPr>
          <w:p>
            <w:pPr>
              <w:spacing w:line="360" w:lineRule="auto"/>
              <w:ind w:right="880" w:rightChars="419"/>
              <w:jc w:val="center"/>
              <w:rPr>
                <w:rFonts w:hint="eastAsia" w:ascii="仿宋" w:hAnsi="仿宋" w:eastAsia="仿宋" w:cs="仿宋"/>
                <w:sz w:val="24"/>
                <w:szCs w:val="24"/>
              </w:rPr>
            </w:pPr>
            <w:r>
              <w:rPr>
                <w:rFonts w:hint="eastAsia" w:ascii="仿宋" w:hAnsi="仿宋" w:eastAsia="仿宋" w:cs="仿宋"/>
                <w:sz w:val="24"/>
                <w:szCs w:val="24"/>
                <w:lang w:val="en-US" w:eastAsia="zh-CN"/>
              </w:rPr>
              <w:t>570.03</w:t>
            </w:r>
            <w:r>
              <w:rPr>
                <w:rFonts w:hint="eastAsia" w:ascii="仿宋" w:hAnsi="仿宋" w:eastAsia="仿宋" w:cs="仿宋"/>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46" w:type="dxa"/>
            <w:vMerge w:val="continue"/>
          </w:tcPr>
          <w:p>
            <w:pPr>
              <w:spacing w:line="360" w:lineRule="auto"/>
              <w:rPr>
                <w:rFonts w:hint="eastAsia" w:ascii="仿宋" w:hAnsi="仿宋" w:eastAsia="仿宋" w:cs="仿宋"/>
                <w:sz w:val="24"/>
                <w:szCs w:val="24"/>
              </w:rPr>
            </w:pPr>
          </w:p>
        </w:tc>
        <w:tc>
          <w:tcPr>
            <w:tcW w:w="127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主管</w:t>
            </w:r>
          </w:p>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部门</w:t>
            </w:r>
          </w:p>
        </w:tc>
        <w:tc>
          <w:tcPr>
            <w:tcW w:w="6917" w:type="dxa"/>
            <w:vAlign w:val="center"/>
          </w:tcPr>
          <w:p>
            <w:pPr>
              <w:spacing w:line="360" w:lineRule="auto"/>
              <w:ind w:right="880" w:rightChars="419"/>
              <w:jc w:val="center"/>
              <w:rPr>
                <w:rFonts w:hint="eastAsia" w:ascii="仿宋" w:hAnsi="仿宋" w:eastAsia="仿宋" w:cs="仿宋"/>
                <w:sz w:val="24"/>
                <w:szCs w:val="24"/>
              </w:rPr>
            </w:pPr>
            <w:r>
              <w:rPr>
                <w:rFonts w:hint="eastAsia" w:ascii="仿宋" w:hAnsi="仿宋" w:eastAsia="仿宋" w:cs="仿宋"/>
                <w:sz w:val="24"/>
                <w:szCs w:val="24"/>
              </w:rPr>
              <w:t>湘潭市市场监督管理局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6" w:hRule="atLeast"/>
          <w:jc w:val="center"/>
        </w:trPr>
        <w:tc>
          <w:tcPr>
            <w:tcW w:w="846" w:type="dxa"/>
            <w:vMerge w:val="continue"/>
          </w:tcPr>
          <w:p>
            <w:pPr>
              <w:spacing w:line="360" w:lineRule="auto"/>
              <w:rPr>
                <w:rFonts w:hint="eastAsia" w:ascii="仿宋" w:hAnsi="仿宋" w:eastAsia="仿宋" w:cs="仿宋"/>
                <w:sz w:val="24"/>
                <w:szCs w:val="24"/>
              </w:rPr>
            </w:pPr>
          </w:p>
        </w:tc>
        <w:tc>
          <w:tcPr>
            <w:tcW w:w="127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单位基本职能</w:t>
            </w:r>
          </w:p>
        </w:tc>
        <w:tc>
          <w:tcPr>
            <w:tcW w:w="6917" w:type="dxa"/>
            <w:vAlign w:val="center"/>
          </w:tcPr>
          <w:p>
            <w:pPr>
              <w:spacing w:line="360" w:lineRule="auto"/>
              <w:ind w:firstLine="641"/>
              <w:rPr>
                <w:rFonts w:hint="eastAsia" w:ascii="仿宋" w:hAnsi="仿宋" w:eastAsia="仿宋" w:cs="仿宋"/>
                <w:sz w:val="24"/>
                <w:szCs w:val="24"/>
              </w:rPr>
            </w:pPr>
            <w:r>
              <w:rPr>
                <w:rFonts w:hint="eastAsia" w:ascii="仿宋" w:hAnsi="仿宋" w:eastAsia="仿宋" w:cs="仿宋"/>
                <w:b/>
                <w:sz w:val="24"/>
                <w:szCs w:val="24"/>
              </w:rPr>
              <w:t>湘潭市产商品质量监督检验所:</w:t>
            </w:r>
            <w:r>
              <w:rPr>
                <w:rFonts w:hint="eastAsia" w:ascii="仿宋" w:hAnsi="仿宋" w:eastAsia="仿宋" w:cs="仿宋"/>
                <w:sz w:val="24"/>
                <w:szCs w:val="24"/>
              </w:rPr>
              <w:t>承担上级下达的产品质量监督抽查相关工作；在检验资质范围内，依法接受委托承担有关产品质量的检验工作；协助市局质量技术监督部门开展生产领域的监督执法和突发事件的应急处置工作；协助市局质量技术监督部门开展有关产品的标准研究、起草工作。</w:t>
            </w:r>
          </w:p>
          <w:p>
            <w:pPr>
              <w:spacing w:line="360" w:lineRule="auto"/>
              <w:ind w:firstLine="641"/>
              <w:rPr>
                <w:rFonts w:hint="eastAsia" w:ascii="仿宋" w:hAnsi="仿宋" w:eastAsia="仿宋" w:cs="仿宋"/>
                <w:sz w:val="24"/>
                <w:szCs w:val="24"/>
              </w:rPr>
            </w:pPr>
            <w:r>
              <w:rPr>
                <w:rFonts w:hint="eastAsia" w:ascii="仿宋" w:hAnsi="仿宋" w:eastAsia="仿宋" w:cs="仿宋"/>
                <w:b/>
                <w:sz w:val="24"/>
                <w:szCs w:val="24"/>
              </w:rPr>
              <w:t>湘潭市工矿电传动车辆质量检验中心：</w:t>
            </w:r>
            <w:r>
              <w:rPr>
                <w:rFonts w:hint="eastAsia" w:ascii="仿宋" w:hAnsi="仿宋" w:eastAsia="仿宋" w:cs="仿宋"/>
                <w:sz w:val="24"/>
                <w:szCs w:val="24"/>
              </w:rPr>
              <w:t>承担国家下达的工矿电传动车辆产品质量监督抽查相关工作；在检验资质范围内，依法接受委托承担工矿电传动车辆产品质量的检验工作，向社会提供公正检验测试服务；开展工矿电传动车辆产品质量检验检测技术研究开发；承担工矿电传动车辆产品质量有关标准（规程）的试验验证及制（修）订工作；协助市局质量技术监督部门开展工矿电传动车辆产品生产领域的监督执法和突发事件的应急处置工作。</w:t>
            </w:r>
          </w:p>
          <w:p>
            <w:pPr>
              <w:spacing w:line="360" w:lineRule="auto"/>
              <w:ind w:firstLine="482" w:firstLineChars="200"/>
              <w:rPr>
                <w:rFonts w:hint="eastAsia" w:ascii="仿宋" w:hAnsi="仿宋" w:eastAsia="仿宋" w:cs="仿宋"/>
                <w:sz w:val="24"/>
                <w:szCs w:val="24"/>
              </w:rPr>
            </w:pPr>
            <w:r>
              <w:rPr>
                <w:rFonts w:hint="eastAsia" w:ascii="仿宋" w:hAnsi="仿宋" w:eastAsia="仿宋" w:cs="仿宋"/>
                <w:b/>
                <w:sz w:val="24"/>
                <w:szCs w:val="24"/>
              </w:rPr>
              <w:t>湘潭市产商品质量监督检验所与国家工矿电传动车辆质量监督检验中心合署办公。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46" w:type="dxa"/>
            <w:vMerge w:val="restart"/>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绩效完成情况</w:t>
            </w:r>
          </w:p>
        </w:tc>
        <w:tc>
          <w:tcPr>
            <w:tcW w:w="127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部门整体支出管理和使用基本情况</w:t>
            </w:r>
          </w:p>
        </w:tc>
        <w:tc>
          <w:tcPr>
            <w:tcW w:w="6917" w:type="dxa"/>
            <w:vAlign w:val="center"/>
          </w:tcPr>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一、预算情况</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1、年初预算情况</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年度年初部门预算为</w:t>
            </w:r>
            <w:r>
              <w:rPr>
                <w:rFonts w:hint="eastAsia" w:ascii="仿宋" w:hAnsi="仿宋" w:eastAsia="仿宋" w:cs="仿宋"/>
                <w:sz w:val="24"/>
                <w:szCs w:val="24"/>
                <w:lang w:val="en-US" w:eastAsia="zh-CN"/>
              </w:rPr>
              <w:t>570.03</w:t>
            </w:r>
            <w:r>
              <w:rPr>
                <w:rFonts w:hint="eastAsia" w:ascii="仿宋" w:hAnsi="仿宋" w:eastAsia="仿宋" w:cs="仿宋"/>
                <w:sz w:val="24"/>
                <w:szCs w:val="24"/>
              </w:rPr>
              <w:t>万元，其中财政拨款</w:t>
            </w:r>
            <w:r>
              <w:rPr>
                <w:rFonts w:hint="eastAsia" w:ascii="仿宋" w:hAnsi="仿宋" w:eastAsia="仿宋" w:cs="仿宋"/>
                <w:sz w:val="24"/>
                <w:szCs w:val="24"/>
                <w:lang w:val="en-US" w:eastAsia="zh-CN"/>
              </w:rPr>
              <w:t>570.03</w:t>
            </w:r>
            <w:r>
              <w:rPr>
                <w:rFonts w:hint="eastAsia" w:ascii="仿宋" w:hAnsi="仿宋" w:eastAsia="仿宋" w:cs="仿宋"/>
                <w:sz w:val="24"/>
                <w:szCs w:val="24"/>
              </w:rPr>
              <w:t>万元，非税收入0万元。预算中基本支出</w:t>
            </w:r>
            <w:r>
              <w:rPr>
                <w:rFonts w:hint="eastAsia" w:ascii="仿宋" w:hAnsi="仿宋" w:eastAsia="仿宋" w:cs="仿宋"/>
                <w:sz w:val="24"/>
                <w:szCs w:val="24"/>
                <w:lang w:val="en-US" w:eastAsia="zh-CN"/>
              </w:rPr>
              <w:t>297.26</w:t>
            </w:r>
            <w:r>
              <w:rPr>
                <w:rFonts w:hint="eastAsia" w:ascii="仿宋" w:hAnsi="仿宋" w:eastAsia="仿宋" w:cs="仿宋"/>
                <w:sz w:val="24"/>
                <w:szCs w:val="24"/>
              </w:rPr>
              <w:t>万元，项目支出2</w:t>
            </w:r>
            <w:r>
              <w:rPr>
                <w:rFonts w:hint="eastAsia" w:ascii="仿宋" w:hAnsi="仿宋" w:eastAsia="仿宋" w:cs="仿宋"/>
                <w:sz w:val="24"/>
                <w:szCs w:val="24"/>
                <w:lang w:val="en-US" w:eastAsia="zh-CN"/>
              </w:rPr>
              <w:t>72</w:t>
            </w:r>
            <w:r>
              <w:rPr>
                <w:rFonts w:hint="eastAsia" w:ascii="仿宋" w:hAnsi="仿宋" w:eastAsia="仿宋" w:cs="仿宋"/>
                <w:sz w:val="24"/>
                <w:szCs w:val="24"/>
              </w:rPr>
              <w:t>.77万元。基本支出中工资福利支出</w:t>
            </w:r>
            <w:r>
              <w:rPr>
                <w:rFonts w:hint="eastAsia" w:ascii="仿宋" w:hAnsi="仿宋" w:eastAsia="仿宋" w:cs="仿宋"/>
                <w:sz w:val="24"/>
                <w:szCs w:val="24"/>
                <w:lang w:val="en-US" w:eastAsia="zh-CN"/>
              </w:rPr>
              <w:t>250.86</w:t>
            </w:r>
            <w:r>
              <w:rPr>
                <w:rFonts w:hint="eastAsia" w:ascii="仿宋" w:hAnsi="仿宋" w:eastAsia="仿宋" w:cs="仿宋"/>
                <w:sz w:val="24"/>
                <w:szCs w:val="24"/>
              </w:rPr>
              <w:t>万元，商品和服务支出</w:t>
            </w:r>
            <w:r>
              <w:rPr>
                <w:rFonts w:hint="eastAsia" w:ascii="仿宋" w:hAnsi="仿宋" w:eastAsia="仿宋" w:cs="仿宋"/>
                <w:sz w:val="24"/>
                <w:szCs w:val="24"/>
                <w:lang w:val="en-US" w:eastAsia="zh-CN"/>
              </w:rPr>
              <w:t>35.83</w:t>
            </w:r>
            <w:r>
              <w:rPr>
                <w:rFonts w:hint="eastAsia" w:ascii="仿宋" w:hAnsi="仿宋" w:eastAsia="仿宋" w:cs="仿宋"/>
                <w:sz w:val="24"/>
                <w:szCs w:val="24"/>
              </w:rPr>
              <w:t>万元，对个人和家庭的补助支出</w:t>
            </w:r>
            <w:r>
              <w:rPr>
                <w:rFonts w:hint="eastAsia" w:ascii="仿宋" w:hAnsi="仿宋" w:eastAsia="仿宋" w:cs="仿宋"/>
                <w:sz w:val="24"/>
                <w:szCs w:val="24"/>
                <w:lang w:val="en-US" w:eastAsia="zh-CN"/>
              </w:rPr>
              <w:t>10.57</w:t>
            </w:r>
            <w:r>
              <w:rPr>
                <w:rFonts w:hint="eastAsia" w:ascii="仿宋" w:hAnsi="仿宋" w:eastAsia="仿宋" w:cs="仿宋"/>
                <w:sz w:val="24"/>
                <w:szCs w:val="24"/>
              </w:rPr>
              <w:t>万元。项目支出中业务性专项</w:t>
            </w:r>
            <w:r>
              <w:rPr>
                <w:rFonts w:hint="eastAsia" w:ascii="仿宋" w:hAnsi="仿宋" w:eastAsia="仿宋" w:cs="仿宋"/>
                <w:sz w:val="24"/>
                <w:szCs w:val="24"/>
                <w:lang w:val="en-US" w:eastAsia="zh-CN"/>
              </w:rPr>
              <w:t>272.77</w:t>
            </w:r>
            <w:r>
              <w:rPr>
                <w:rFonts w:hint="eastAsia" w:ascii="仿宋" w:hAnsi="仿宋" w:eastAsia="仿宋" w:cs="仿宋"/>
                <w:sz w:val="24"/>
                <w:szCs w:val="24"/>
              </w:rPr>
              <w:t>万元，其中财政拨款</w:t>
            </w:r>
            <w:r>
              <w:rPr>
                <w:rFonts w:hint="eastAsia" w:ascii="仿宋" w:hAnsi="仿宋" w:eastAsia="仿宋" w:cs="仿宋"/>
                <w:sz w:val="24"/>
                <w:szCs w:val="24"/>
                <w:lang w:val="en-US" w:eastAsia="zh-CN"/>
              </w:rPr>
              <w:t>272.77</w:t>
            </w:r>
            <w:r>
              <w:rPr>
                <w:rFonts w:hint="eastAsia" w:ascii="仿宋" w:hAnsi="仿宋" w:eastAsia="仿宋" w:cs="仿宋"/>
                <w:sz w:val="24"/>
                <w:szCs w:val="24"/>
              </w:rPr>
              <w:t>万元，非税收入0万元。</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2、年中追加和调减预算情况</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2022年政策性调整基本支出预算85.5万元，其中：在职人员绩效奖金41.86万元，2021年绩效考核奖19万元，退休人员生活补助10.83万元，调整工资2.85万元，2022年上半年抚恤金4.28万元，增人增资（工资提标）6.68万元，业务性专项支出预算30万元，其中：省级市场监督管理专项资金20万元，创新型省份建设专项资金10万元。</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3、全年总预算情况</w:t>
            </w:r>
          </w:p>
          <w:p>
            <w:pPr>
              <w:numPr>
                <w:ilvl w:val="0"/>
                <w:numId w:val="0"/>
              </w:numPr>
              <w:spacing w:line="360" w:lineRule="auto"/>
              <w:ind w:firstLine="240" w:firstLineChars="100"/>
              <w:rPr>
                <w:rFonts w:hint="eastAsia" w:ascii="仿宋" w:hAnsi="仿宋" w:eastAsia="仿宋" w:cs="仿宋"/>
                <w:sz w:val="24"/>
                <w:szCs w:val="24"/>
              </w:rPr>
            </w:pPr>
            <w:r>
              <w:rPr>
                <w:rFonts w:hint="eastAsia" w:ascii="仿宋" w:hAnsi="仿宋" w:eastAsia="仿宋" w:cs="仿宋"/>
                <w:sz w:val="24"/>
                <w:szCs w:val="24"/>
                <w:lang w:val="en-US" w:eastAsia="zh-CN"/>
              </w:rPr>
              <w:t>2022年财政预算拨款合计685.53万元，事业收入30万元，其他收入8.26万元，合计723.79万元。</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4、三公经费预算情况</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年三公经费预算数为</w:t>
            </w:r>
            <w:r>
              <w:rPr>
                <w:rFonts w:hint="eastAsia" w:ascii="仿宋" w:hAnsi="仿宋" w:eastAsia="仿宋" w:cs="仿宋"/>
                <w:sz w:val="24"/>
                <w:szCs w:val="24"/>
                <w:lang w:val="en-US" w:eastAsia="zh-CN"/>
              </w:rPr>
              <w:t>11.24</w:t>
            </w:r>
            <w:r>
              <w:rPr>
                <w:rFonts w:hint="eastAsia" w:ascii="仿宋" w:hAnsi="仿宋" w:eastAsia="仿宋" w:cs="仿宋"/>
                <w:sz w:val="24"/>
                <w:szCs w:val="24"/>
              </w:rPr>
              <w:t>万元，其中公务接待费</w:t>
            </w:r>
            <w:r>
              <w:rPr>
                <w:rFonts w:hint="eastAsia" w:ascii="仿宋" w:hAnsi="仿宋" w:eastAsia="仿宋" w:cs="仿宋"/>
                <w:sz w:val="24"/>
                <w:szCs w:val="24"/>
                <w:lang w:val="en-US" w:eastAsia="zh-CN"/>
              </w:rPr>
              <w:t>1.64</w:t>
            </w:r>
            <w:r>
              <w:rPr>
                <w:rFonts w:hint="eastAsia" w:ascii="仿宋" w:hAnsi="仿宋" w:eastAsia="仿宋" w:cs="仿宋"/>
                <w:sz w:val="24"/>
                <w:szCs w:val="24"/>
              </w:rPr>
              <w:t>万元，公务用车运行维护费9.60万元，出国（境）费0元。</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二、预算资金执行情况</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1、基本支出执行情况</w:t>
            </w:r>
          </w:p>
          <w:p>
            <w:pPr>
              <w:tabs>
                <w:tab w:val="left" w:pos="900"/>
              </w:tabs>
              <w:spacing w:line="360" w:lineRule="auto"/>
              <w:ind w:left="1" w:firstLine="537" w:firstLineChars="224"/>
              <w:rPr>
                <w:rFonts w:hint="eastAsia" w:ascii="仿宋" w:hAnsi="仿宋" w:eastAsia="仿宋" w:cs="仿宋"/>
                <w:color w:val="auto"/>
                <w:sz w:val="24"/>
                <w:szCs w:val="24"/>
              </w:rPr>
            </w:pPr>
            <w:r>
              <w:rPr>
                <w:rFonts w:hint="eastAsia" w:ascii="仿宋" w:hAnsi="仿宋" w:eastAsia="仿宋" w:cs="仿宋"/>
                <w:color w:val="auto"/>
                <w:sz w:val="24"/>
                <w:szCs w:val="24"/>
              </w:rPr>
              <w:t>202</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年度年初部门预算安排基本支出</w:t>
            </w:r>
            <w:r>
              <w:rPr>
                <w:rFonts w:hint="eastAsia" w:ascii="仿宋" w:hAnsi="仿宋" w:eastAsia="仿宋" w:cs="仿宋"/>
                <w:sz w:val="24"/>
                <w:szCs w:val="24"/>
                <w:lang w:val="en-US" w:eastAsia="zh-CN"/>
              </w:rPr>
              <w:t>297.26</w:t>
            </w:r>
            <w:r>
              <w:rPr>
                <w:rFonts w:hint="eastAsia" w:ascii="仿宋" w:hAnsi="仿宋" w:eastAsia="仿宋" w:cs="仿宋"/>
                <w:color w:val="auto"/>
                <w:sz w:val="24"/>
                <w:szCs w:val="24"/>
              </w:rPr>
              <w:t>万元，年中调增</w:t>
            </w:r>
            <w:r>
              <w:rPr>
                <w:rFonts w:hint="eastAsia" w:ascii="仿宋" w:hAnsi="仿宋" w:eastAsia="仿宋" w:cs="仿宋"/>
                <w:color w:val="auto"/>
                <w:sz w:val="24"/>
                <w:szCs w:val="24"/>
                <w:lang w:val="en-US" w:eastAsia="zh-CN"/>
              </w:rPr>
              <w:t>85.5</w:t>
            </w:r>
            <w:r>
              <w:rPr>
                <w:rFonts w:hint="eastAsia" w:ascii="仿宋" w:hAnsi="仿宋" w:eastAsia="仿宋" w:cs="仿宋"/>
                <w:color w:val="auto"/>
                <w:sz w:val="24"/>
                <w:szCs w:val="24"/>
              </w:rPr>
              <w:t>万元，合计</w:t>
            </w:r>
            <w:r>
              <w:rPr>
                <w:rFonts w:hint="eastAsia" w:ascii="仿宋" w:hAnsi="仿宋" w:eastAsia="仿宋" w:cs="仿宋"/>
                <w:color w:val="auto"/>
                <w:sz w:val="24"/>
                <w:szCs w:val="24"/>
                <w:lang w:val="en-US" w:eastAsia="zh-CN"/>
              </w:rPr>
              <w:t>382.76</w:t>
            </w:r>
            <w:r>
              <w:rPr>
                <w:rFonts w:hint="eastAsia" w:ascii="仿宋" w:hAnsi="仿宋" w:eastAsia="仿宋" w:cs="仿宋"/>
                <w:color w:val="auto"/>
                <w:sz w:val="24"/>
                <w:szCs w:val="24"/>
              </w:rPr>
              <w:t>万元。其中工资福利支出</w:t>
            </w:r>
            <w:r>
              <w:rPr>
                <w:rFonts w:hint="eastAsia" w:ascii="仿宋" w:hAnsi="仿宋" w:eastAsia="仿宋" w:cs="仿宋"/>
                <w:sz w:val="24"/>
                <w:szCs w:val="24"/>
                <w:lang w:val="en-US" w:eastAsia="zh-CN"/>
              </w:rPr>
              <w:t>321.25</w:t>
            </w:r>
            <w:r>
              <w:rPr>
                <w:rFonts w:hint="eastAsia" w:ascii="仿宋" w:hAnsi="仿宋" w:eastAsia="仿宋" w:cs="仿宋"/>
                <w:color w:val="auto"/>
                <w:sz w:val="24"/>
                <w:szCs w:val="24"/>
              </w:rPr>
              <w:t>万元，商品和服务支出</w:t>
            </w:r>
            <w:r>
              <w:rPr>
                <w:rFonts w:hint="eastAsia" w:ascii="仿宋" w:hAnsi="仿宋" w:eastAsia="仿宋" w:cs="仿宋"/>
                <w:color w:val="auto"/>
                <w:sz w:val="24"/>
                <w:szCs w:val="24"/>
                <w:lang w:val="en-US" w:eastAsia="zh-CN"/>
              </w:rPr>
              <w:t>35.83</w:t>
            </w:r>
            <w:r>
              <w:rPr>
                <w:rFonts w:hint="eastAsia" w:ascii="仿宋" w:hAnsi="仿宋" w:eastAsia="仿宋" w:cs="仿宋"/>
                <w:color w:val="auto"/>
                <w:sz w:val="24"/>
                <w:szCs w:val="24"/>
              </w:rPr>
              <w:t>万元，对个人和家庭补助支出</w:t>
            </w:r>
            <w:r>
              <w:rPr>
                <w:rFonts w:hint="eastAsia" w:ascii="仿宋" w:hAnsi="仿宋" w:eastAsia="仿宋" w:cs="仿宋"/>
                <w:color w:val="auto"/>
                <w:sz w:val="24"/>
                <w:szCs w:val="24"/>
                <w:lang w:val="en-US" w:eastAsia="zh-CN"/>
              </w:rPr>
              <w:t>25.68</w:t>
            </w:r>
            <w:r>
              <w:rPr>
                <w:rFonts w:hint="eastAsia" w:ascii="仿宋" w:hAnsi="仿宋" w:eastAsia="仿宋" w:cs="仿宋"/>
                <w:color w:val="auto"/>
                <w:sz w:val="24"/>
                <w:szCs w:val="24"/>
              </w:rPr>
              <w:t>万元。</w:t>
            </w:r>
          </w:p>
          <w:p>
            <w:pPr>
              <w:tabs>
                <w:tab w:val="left" w:pos="900"/>
              </w:tabs>
              <w:spacing w:line="360" w:lineRule="auto"/>
              <w:ind w:left="1" w:firstLine="537" w:firstLineChars="224"/>
              <w:rPr>
                <w:rFonts w:hint="eastAsia" w:ascii="仿宋" w:hAnsi="仿宋" w:eastAsia="仿宋" w:cs="仿宋"/>
                <w:color w:val="auto"/>
                <w:sz w:val="24"/>
                <w:szCs w:val="24"/>
              </w:rPr>
            </w:pPr>
            <w:r>
              <w:rPr>
                <w:rFonts w:hint="eastAsia" w:ascii="仿宋" w:hAnsi="仿宋" w:eastAsia="仿宋" w:cs="仿宋"/>
                <w:color w:val="auto"/>
                <w:sz w:val="24"/>
                <w:szCs w:val="24"/>
              </w:rPr>
              <w:t>基本支出实际发生数为</w:t>
            </w:r>
            <w:r>
              <w:rPr>
                <w:rFonts w:hint="eastAsia" w:ascii="仿宋" w:hAnsi="仿宋" w:eastAsia="仿宋" w:cs="仿宋"/>
                <w:color w:val="auto"/>
                <w:sz w:val="24"/>
                <w:szCs w:val="24"/>
                <w:lang w:val="en-US" w:eastAsia="zh-CN"/>
              </w:rPr>
              <w:t>431.79</w:t>
            </w:r>
            <w:r>
              <w:rPr>
                <w:rFonts w:hint="eastAsia" w:ascii="仿宋" w:hAnsi="仿宋" w:eastAsia="仿宋" w:cs="仿宋"/>
                <w:color w:val="auto"/>
                <w:sz w:val="24"/>
                <w:szCs w:val="24"/>
              </w:rPr>
              <w:t>万元。其中工资福利支出</w:t>
            </w:r>
            <w:r>
              <w:rPr>
                <w:rFonts w:hint="eastAsia" w:ascii="仿宋" w:hAnsi="仿宋" w:eastAsia="仿宋" w:cs="仿宋"/>
                <w:color w:val="auto"/>
                <w:sz w:val="24"/>
                <w:szCs w:val="24"/>
                <w:lang w:val="en-US" w:eastAsia="zh-CN"/>
              </w:rPr>
              <w:t>386.29</w:t>
            </w:r>
            <w:r>
              <w:rPr>
                <w:rFonts w:hint="eastAsia" w:ascii="仿宋" w:hAnsi="仿宋" w:eastAsia="仿宋" w:cs="仿宋"/>
                <w:color w:val="auto"/>
                <w:sz w:val="24"/>
                <w:szCs w:val="24"/>
              </w:rPr>
              <w:t>万元，商品和服务支出</w:t>
            </w:r>
            <w:r>
              <w:rPr>
                <w:rFonts w:hint="eastAsia" w:ascii="仿宋" w:hAnsi="仿宋" w:eastAsia="仿宋" w:cs="仿宋"/>
                <w:color w:val="auto"/>
                <w:sz w:val="24"/>
                <w:szCs w:val="24"/>
                <w:lang w:val="en-US" w:eastAsia="zh-CN"/>
              </w:rPr>
              <w:t>18.63</w:t>
            </w:r>
            <w:r>
              <w:rPr>
                <w:rFonts w:hint="eastAsia" w:ascii="仿宋" w:hAnsi="仿宋" w:eastAsia="仿宋" w:cs="仿宋"/>
                <w:color w:val="auto"/>
                <w:sz w:val="24"/>
                <w:szCs w:val="24"/>
              </w:rPr>
              <w:t>万元，对个人和家庭补助支出</w:t>
            </w:r>
            <w:r>
              <w:rPr>
                <w:rFonts w:hint="eastAsia" w:ascii="仿宋" w:hAnsi="仿宋" w:eastAsia="仿宋" w:cs="仿宋"/>
                <w:color w:val="auto"/>
                <w:sz w:val="24"/>
                <w:szCs w:val="24"/>
                <w:lang w:val="en-US" w:eastAsia="zh-CN"/>
              </w:rPr>
              <w:t>26.87</w:t>
            </w:r>
            <w:r>
              <w:rPr>
                <w:rFonts w:hint="eastAsia" w:ascii="仿宋" w:hAnsi="仿宋" w:eastAsia="仿宋" w:cs="仿宋"/>
                <w:color w:val="auto"/>
                <w:sz w:val="24"/>
                <w:szCs w:val="24"/>
              </w:rPr>
              <w:t>万元。</w:t>
            </w:r>
          </w:p>
          <w:p>
            <w:pPr>
              <w:tabs>
                <w:tab w:val="left" w:pos="900"/>
              </w:tabs>
              <w:spacing w:line="360" w:lineRule="auto"/>
              <w:ind w:left="1" w:firstLine="537" w:firstLineChars="224"/>
              <w:rPr>
                <w:rFonts w:hint="eastAsia" w:ascii="仿宋" w:hAnsi="仿宋" w:eastAsia="仿宋" w:cs="仿宋"/>
                <w:sz w:val="24"/>
                <w:szCs w:val="24"/>
                <w:lang w:val="en-US" w:eastAsia="zh-CN"/>
              </w:rPr>
            </w:pPr>
            <w:r>
              <w:rPr>
                <w:rFonts w:hint="eastAsia" w:ascii="仿宋" w:hAnsi="仿宋" w:eastAsia="仿宋" w:cs="仿宋"/>
                <w:color w:val="auto"/>
                <w:sz w:val="24"/>
                <w:szCs w:val="24"/>
                <w:lang w:val="en-US" w:eastAsia="zh-CN"/>
              </w:rPr>
              <w:t xml:space="preserve"> </w:t>
            </w:r>
            <w:r>
              <w:rPr>
                <w:rFonts w:hint="eastAsia" w:ascii="仿宋" w:hAnsi="仿宋" w:eastAsia="仿宋" w:cs="仿宋"/>
                <w:sz w:val="24"/>
                <w:szCs w:val="24"/>
              </w:rPr>
              <w:t>全年</w:t>
            </w:r>
            <w:r>
              <w:rPr>
                <w:rFonts w:hint="eastAsia" w:ascii="仿宋" w:hAnsi="仿宋" w:eastAsia="仿宋" w:cs="仿宋"/>
                <w:sz w:val="24"/>
                <w:szCs w:val="24"/>
                <w:lang w:eastAsia="zh-CN"/>
              </w:rPr>
              <w:t>基本</w:t>
            </w:r>
            <w:r>
              <w:rPr>
                <w:rFonts w:hint="eastAsia" w:ascii="仿宋" w:hAnsi="仿宋" w:eastAsia="仿宋" w:cs="仿宋"/>
                <w:sz w:val="24"/>
                <w:szCs w:val="24"/>
              </w:rPr>
              <w:t>支出实际发生额与年度总预算安排比例为11</w:t>
            </w:r>
            <w:r>
              <w:rPr>
                <w:rFonts w:hint="eastAsia" w:ascii="仿宋" w:hAnsi="仿宋" w:eastAsia="仿宋" w:cs="仿宋"/>
                <w:sz w:val="24"/>
                <w:szCs w:val="24"/>
                <w:lang w:val="en-US" w:eastAsia="zh-CN"/>
              </w:rPr>
              <w:t>2.81</w:t>
            </w:r>
            <w:r>
              <w:rPr>
                <w:rFonts w:hint="eastAsia" w:ascii="仿宋" w:hAnsi="仿宋" w:eastAsia="仿宋" w:cs="仿宋"/>
                <w:sz w:val="24"/>
                <w:szCs w:val="24"/>
              </w:rPr>
              <w:t>%。</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“三公经费”预算数为</w:t>
            </w:r>
            <w:r>
              <w:rPr>
                <w:rFonts w:hint="eastAsia" w:ascii="仿宋" w:hAnsi="仿宋" w:eastAsia="仿宋" w:cs="仿宋"/>
                <w:sz w:val="24"/>
                <w:szCs w:val="24"/>
                <w:lang w:val="en-US" w:eastAsia="zh-CN"/>
              </w:rPr>
              <w:t>11.24</w:t>
            </w:r>
            <w:r>
              <w:rPr>
                <w:rFonts w:hint="eastAsia" w:ascii="仿宋" w:hAnsi="仿宋" w:eastAsia="仿宋" w:cs="仿宋"/>
                <w:sz w:val="24"/>
                <w:szCs w:val="24"/>
              </w:rPr>
              <w:t>万元，其中公务接待费</w:t>
            </w:r>
            <w:r>
              <w:rPr>
                <w:rFonts w:hint="eastAsia" w:ascii="仿宋" w:hAnsi="仿宋" w:eastAsia="仿宋" w:cs="仿宋"/>
                <w:sz w:val="24"/>
                <w:szCs w:val="24"/>
                <w:lang w:val="en-US" w:eastAsia="zh-CN"/>
              </w:rPr>
              <w:t>1.64</w:t>
            </w:r>
            <w:r>
              <w:rPr>
                <w:rFonts w:hint="eastAsia" w:ascii="仿宋" w:hAnsi="仿宋" w:eastAsia="仿宋" w:cs="仿宋"/>
                <w:sz w:val="24"/>
                <w:szCs w:val="24"/>
              </w:rPr>
              <w:t>万元，公务用车运行维护费9.60万元，出国（境）费0元。</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“三公经费”实际支出数为</w:t>
            </w:r>
            <w:r>
              <w:rPr>
                <w:rFonts w:hint="eastAsia" w:ascii="仿宋" w:hAnsi="仿宋" w:eastAsia="仿宋" w:cs="仿宋"/>
                <w:sz w:val="24"/>
                <w:szCs w:val="24"/>
                <w:lang w:val="en-US" w:eastAsia="zh-CN"/>
              </w:rPr>
              <w:t>9.16</w:t>
            </w:r>
            <w:r>
              <w:rPr>
                <w:rFonts w:hint="eastAsia" w:ascii="仿宋" w:hAnsi="仿宋" w:eastAsia="仿宋" w:cs="仿宋"/>
                <w:sz w:val="24"/>
                <w:szCs w:val="24"/>
              </w:rPr>
              <w:t>万元，其中公务接待费实际支出为</w:t>
            </w:r>
            <w:r>
              <w:rPr>
                <w:rFonts w:hint="eastAsia" w:ascii="仿宋" w:hAnsi="仿宋" w:eastAsia="仿宋" w:cs="仿宋"/>
                <w:sz w:val="24"/>
                <w:szCs w:val="24"/>
                <w:lang w:val="en-US" w:eastAsia="zh-CN"/>
              </w:rPr>
              <w:t>0.51</w:t>
            </w:r>
            <w:r>
              <w:rPr>
                <w:rFonts w:hint="eastAsia" w:ascii="仿宋" w:hAnsi="仿宋" w:eastAsia="仿宋" w:cs="仿宋"/>
                <w:sz w:val="24"/>
                <w:szCs w:val="24"/>
              </w:rPr>
              <w:t>万元，公务用车运行维护费实际支出为</w:t>
            </w:r>
            <w:r>
              <w:rPr>
                <w:rFonts w:hint="eastAsia" w:ascii="仿宋" w:hAnsi="仿宋" w:eastAsia="仿宋" w:cs="仿宋"/>
                <w:sz w:val="24"/>
                <w:szCs w:val="24"/>
                <w:lang w:val="en-US" w:eastAsia="zh-CN"/>
              </w:rPr>
              <w:t>9.59</w:t>
            </w:r>
            <w:r>
              <w:rPr>
                <w:rFonts w:hint="eastAsia" w:ascii="仿宋" w:hAnsi="仿宋" w:eastAsia="仿宋" w:cs="仿宋"/>
                <w:sz w:val="24"/>
                <w:szCs w:val="24"/>
              </w:rPr>
              <w:t>万元，完全控制在控制数以内。主要原因：</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1）严格控制公务接待开支。所有公务接待由承办室、部的经办人申请，如实填写接待清单（包括接待对象的单位、人数、姓名、职务和公务活动内容、时间场所、标准等内容），经办公室、所领导同意后方可接待，公务活动结束后，接待室、部再按财务程序核报。（2）严格控制车辆运行费用。切实加强车辆用油管理，严格执行“一车一卡”管理办法，油卡统一由办公室保管。驾驶员要随时掌握加油卡的资金余额，需要充值时提前向办公室报告。一般情况下不得用现金加油，否则不予报销。耗油量凭派车单和行驶里程核定。</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2、项目支出执行情况</w:t>
            </w:r>
          </w:p>
          <w:p>
            <w:pPr>
              <w:tabs>
                <w:tab w:val="left" w:pos="900"/>
              </w:tabs>
              <w:spacing w:line="360" w:lineRule="auto"/>
              <w:ind w:left="1" w:firstLine="537" w:firstLineChars="224"/>
              <w:rPr>
                <w:rFonts w:hint="eastAsia" w:ascii="仿宋" w:hAnsi="仿宋" w:eastAsia="仿宋" w:cs="仿宋"/>
                <w:color w:val="auto"/>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年度年初部门预算安排项目支出</w:t>
            </w:r>
            <w:r>
              <w:rPr>
                <w:rFonts w:hint="eastAsia" w:ascii="仿宋" w:hAnsi="仿宋" w:eastAsia="仿宋" w:cs="仿宋"/>
                <w:sz w:val="24"/>
                <w:szCs w:val="24"/>
                <w:lang w:val="en-US" w:eastAsia="zh-CN"/>
              </w:rPr>
              <w:t>272.77</w:t>
            </w:r>
            <w:r>
              <w:rPr>
                <w:rFonts w:hint="eastAsia" w:ascii="仿宋" w:hAnsi="仿宋" w:eastAsia="仿宋" w:cs="仿宋"/>
                <w:sz w:val="24"/>
                <w:szCs w:val="24"/>
              </w:rPr>
              <w:t>万元；预算调增</w:t>
            </w:r>
            <w:r>
              <w:rPr>
                <w:rFonts w:hint="eastAsia" w:ascii="仿宋" w:hAnsi="仿宋" w:eastAsia="仿宋" w:cs="仿宋"/>
                <w:color w:val="auto"/>
                <w:sz w:val="24"/>
                <w:szCs w:val="24"/>
                <w:lang w:val="en-US" w:eastAsia="zh-CN"/>
              </w:rPr>
              <w:t>30</w:t>
            </w:r>
            <w:r>
              <w:rPr>
                <w:rFonts w:hint="eastAsia" w:ascii="仿宋" w:hAnsi="仿宋" w:eastAsia="仿宋" w:cs="仿宋"/>
                <w:color w:val="auto"/>
                <w:sz w:val="24"/>
                <w:szCs w:val="24"/>
              </w:rPr>
              <w:t>万元，</w:t>
            </w:r>
            <w:r>
              <w:rPr>
                <w:rFonts w:hint="eastAsia" w:ascii="仿宋" w:hAnsi="仿宋" w:eastAsia="仿宋" w:cs="仿宋"/>
                <w:color w:val="auto"/>
                <w:sz w:val="24"/>
                <w:szCs w:val="24"/>
                <w:lang w:eastAsia="zh-CN"/>
              </w:rPr>
              <w:t>全年财政预算</w:t>
            </w:r>
            <w:r>
              <w:rPr>
                <w:rFonts w:hint="eastAsia" w:ascii="仿宋" w:hAnsi="仿宋" w:eastAsia="仿宋" w:cs="仿宋"/>
                <w:color w:val="auto"/>
                <w:sz w:val="24"/>
                <w:szCs w:val="24"/>
              </w:rPr>
              <w:t>项目支出合计</w:t>
            </w:r>
            <w:r>
              <w:rPr>
                <w:rFonts w:hint="eastAsia" w:ascii="仿宋" w:hAnsi="仿宋" w:eastAsia="仿宋" w:cs="仿宋"/>
                <w:color w:val="auto"/>
                <w:sz w:val="24"/>
                <w:szCs w:val="24"/>
                <w:lang w:val="en-US" w:eastAsia="zh-CN"/>
              </w:rPr>
              <w:t>302.77</w:t>
            </w:r>
            <w:r>
              <w:rPr>
                <w:rFonts w:hint="eastAsia" w:ascii="仿宋" w:hAnsi="仿宋" w:eastAsia="仿宋" w:cs="仿宋"/>
                <w:color w:val="auto"/>
                <w:sz w:val="24"/>
                <w:szCs w:val="24"/>
              </w:rPr>
              <w:t>万元。</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项目支出实际发生数为</w:t>
            </w:r>
            <w:r>
              <w:rPr>
                <w:rFonts w:hint="eastAsia" w:ascii="仿宋" w:hAnsi="仿宋" w:eastAsia="仿宋" w:cs="仿宋"/>
                <w:sz w:val="24"/>
                <w:szCs w:val="24"/>
                <w:lang w:val="en-US" w:eastAsia="zh-CN"/>
              </w:rPr>
              <w:t>280.63</w:t>
            </w:r>
            <w:r>
              <w:rPr>
                <w:rFonts w:hint="eastAsia" w:ascii="仿宋" w:hAnsi="仿宋" w:eastAsia="仿宋" w:cs="仿宋"/>
                <w:sz w:val="24"/>
                <w:szCs w:val="24"/>
              </w:rPr>
              <w:t>万元。其中业务性专项支出</w:t>
            </w:r>
            <w:r>
              <w:rPr>
                <w:rFonts w:hint="eastAsia" w:ascii="仿宋" w:hAnsi="仿宋" w:eastAsia="仿宋" w:cs="仿宋"/>
                <w:sz w:val="24"/>
                <w:szCs w:val="24"/>
                <w:lang w:val="en-US" w:eastAsia="zh-CN"/>
              </w:rPr>
              <w:t>280.63</w:t>
            </w:r>
            <w:r>
              <w:rPr>
                <w:rFonts w:hint="eastAsia" w:ascii="仿宋" w:hAnsi="仿宋" w:eastAsia="仿宋" w:cs="仿宋"/>
                <w:sz w:val="24"/>
                <w:szCs w:val="24"/>
              </w:rPr>
              <w:t>万元，年度总预算</w:t>
            </w:r>
            <w:r>
              <w:rPr>
                <w:rFonts w:hint="eastAsia" w:ascii="仿宋" w:hAnsi="仿宋" w:eastAsia="仿宋" w:cs="仿宋"/>
                <w:sz w:val="24"/>
                <w:szCs w:val="24"/>
                <w:lang w:eastAsia="zh-CN"/>
              </w:rPr>
              <w:t>执行率</w:t>
            </w:r>
            <w:r>
              <w:rPr>
                <w:rFonts w:hint="eastAsia" w:ascii="仿宋" w:hAnsi="仿宋" w:eastAsia="仿宋" w:cs="仿宋"/>
                <w:sz w:val="24"/>
                <w:szCs w:val="24"/>
                <w:lang w:val="en-US" w:eastAsia="zh-CN"/>
              </w:rPr>
              <w:t>92.7</w:t>
            </w:r>
            <w:r>
              <w:rPr>
                <w:rFonts w:hint="eastAsia" w:ascii="仿宋" w:hAnsi="仿宋" w:eastAsia="仿宋" w:cs="仿宋"/>
                <w:sz w:val="24"/>
                <w:szCs w:val="24"/>
              </w:rPr>
              <w:t>%。</w:t>
            </w:r>
          </w:p>
          <w:p>
            <w:pPr>
              <w:tabs>
                <w:tab w:val="left" w:pos="900"/>
              </w:tabs>
              <w:spacing w:line="360" w:lineRule="auto"/>
              <w:ind w:left="1" w:firstLine="537" w:firstLineChars="224"/>
              <w:rPr>
                <w:rFonts w:hint="eastAsia" w:ascii="仿宋" w:hAnsi="仿宋" w:eastAsia="仿宋" w:cs="仿宋"/>
                <w:sz w:val="24"/>
                <w:szCs w:val="24"/>
              </w:rPr>
            </w:pPr>
            <w:r>
              <w:rPr>
                <w:rFonts w:hint="eastAsia" w:ascii="仿宋" w:hAnsi="仿宋" w:eastAsia="仿宋" w:cs="仿宋"/>
                <w:sz w:val="24"/>
                <w:szCs w:val="24"/>
              </w:rPr>
              <w:t>为加强对专项资金的管理，规范支出，提高专项资金使用效益，制定《专项资金管理办法》等相关制度，明确专项工作支出范围，并严格按照批准的用途专款专用，定期对专项工作实施进度和资金使用情况进行检查，加强事前、事中和事后的监督，发现问题，及时纠正。专项工作业务经费报销，经办人必须在发票上注明每笔支出的事由，部门负责人签字证实，按报账审批权限送分管财务副所长、所长审批后，交财务列支。经办人、部门负责人必须对支出项目的真实性负责；财务对报销单据的合规性、审批程序是否符合财务制度负责；财务副所长、所长对支出的合法性、合理性负责，进一步规范经费开支和资产管理。</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3、扎实推进预决算公开。</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按照政府信息公开的相关规定，202</w:t>
            </w:r>
            <w:r>
              <w:rPr>
                <w:rFonts w:hint="eastAsia" w:ascii="仿宋" w:hAnsi="仿宋" w:eastAsia="仿宋" w:cs="仿宋"/>
                <w:sz w:val="24"/>
                <w:szCs w:val="24"/>
                <w:lang w:val="en-US" w:eastAsia="zh-CN"/>
              </w:rPr>
              <w:t>2</w:t>
            </w:r>
            <w:r>
              <w:rPr>
                <w:rFonts w:hint="eastAsia" w:ascii="仿宋" w:hAnsi="仿宋" w:eastAsia="仿宋" w:cs="仿宋"/>
                <w:sz w:val="24"/>
                <w:szCs w:val="24"/>
              </w:rPr>
              <w:t>年在市政府门户网站和单位门户网对外主动公开年初预算信息和三公经费控制数以及202</w:t>
            </w:r>
            <w:r>
              <w:rPr>
                <w:rFonts w:hint="eastAsia" w:ascii="仿宋" w:hAnsi="仿宋" w:eastAsia="仿宋" w:cs="仿宋"/>
                <w:sz w:val="24"/>
                <w:szCs w:val="24"/>
                <w:lang w:val="en-US" w:eastAsia="zh-CN"/>
              </w:rPr>
              <w:t>2</w:t>
            </w:r>
            <w:r>
              <w:rPr>
                <w:rFonts w:hint="eastAsia" w:ascii="仿宋" w:hAnsi="仿宋" w:eastAsia="仿宋" w:cs="仿宋"/>
                <w:sz w:val="24"/>
                <w:szCs w:val="24"/>
              </w:rPr>
              <w:t>年度决算和三公经费支出情况等相关事项，接受社会公众的监督。</w:t>
            </w:r>
          </w:p>
          <w:p>
            <w:pPr>
              <w:tabs>
                <w:tab w:val="left" w:pos="900"/>
              </w:tabs>
              <w:spacing w:line="360" w:lineRule="auto"/>
              <w:ind w:left="1" w:firstLine="540" w:firstLineChars="224"/>
              <w:rPr>
                <w:rFonts w:hint="eastAsia" w:ascii="仿宋" w:hAnsi="仿宋" w:eastAsia="仿宋" w:cs="仿宋"/>
                <w:b/>
                <w:sz w:val="24"/>
                <w:szCs w:val="24"/>
              </w:rPr>
            </w:pPr>
            <w:r>
              <w:rPr>
                <w:rFonts w:hint="eastAsia" w:ascii="仿宋" w:hAnsi="仿宋" w:eastAsia="仿宋" w:cs="仿宋"/>
                <w:b/>
                <w:sz w:val="24"/>
                <w:szCs w:val="24"/>
              </w:rPr>
              <w:t>（三）事业收入执行情况</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2</w:t>
            </w:r>
            <w:r>
              <w:rPr>
                <w:rFonts w:hint="eastAsia" w:ascii="仿宋" w:hAnsi="仿宋" w:eastAsia="仿宋" w:cs="仿宋"/>
                <w:sz w:val="24"/>
                <w:szCs w:val="24"/>
              </w:rPr>
              <w:t>年事业收入</w:t>
            </w:r>
            <w:r>
              <w:rPr>
                <w:rFonts w:hint="eastAsia" w:ascii="仿宋" w:hAnsi="仿宋" w:eastAsia="仿宋" w:cs="仿宋"/>
                <w:sz w:val="24"/>
                <w:szCs w:val="24"/>
                <w:lang w:val="en-US" w:eastAsia="zh-CN"/>
              </w:rPr>
              <w:t>30</w:t>
            </w:r>
            <w:r>
              <w:rPr>
                <w:rFonts w:hint="eastAsia" w:ascii="仿宋" w:hAnsi="仿宋" w:eastAsia="仿宋" w:cs="仿宋"/>
                <w:sz w:val="24"/>
                <w:szCs w:val="24"/>
              </w:rPr>
              <w:t>万元，其他事业</w:t>
            </w:r>
            <w:r>
              <w:rPr>
                <w:rFonts w:hint="eastAsia" w:ascii="仿宋" w:hAnsi="仿宋" w:eastAsia="仿宋" w:cs="仿宋"/>
                <w:sz w:val="24"/>
                <w:szCs w:val="24"/>
                <w:lang w:eastAsia="zh-CN"/>
              </w:rPr>
              <w:t>收入</w:t>
            </w:r>
            <w:r>
              <w:rPr>
                <w:rFonts w:hint="eastAsia" w:ascii="仿宋" w:hAnsi="仿宋" w:eastAsia="仿宋" w:cs="仿宋"/>
                <w:sz w:val="24"/>
                <w:szCs w:val="24"/>
                <w:lang w:val="en-US" w:eastAsia="zh-CN"/>
              </w:rPr>
              <w:t>8.26</w:t>
            </w:r>
            <w:r>
              <w:rPr>
                <w:rFonts w:hint="eastAsia" w:ascii="仿宋" w:hAnsi="仿宋" w:eastAsia="仿宋" w:cs="仿宋"/>
                <w:sz w:val="24"/>
                <w:szCs w:val="24"/>
              </w:rPr>
              <w:t>万元，事业收入执行率100%。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0" w:hRule="atLeast"/>
          <w:jc w:val="center"/>
        </w:trPr>
        <w:tc>
          <w:tcPr>
            <w:tcW w:w="846" w:type="dxa"/>
            <w:vMerge w:val="continue"/>
          </w:tcPr>
          <w:p>
            <w:pPr>
              <w:spacing w:line="360" w:lineRule="auto"/>
              <w:rPr>
                <w:rFonts w:hint="eastAsia" w:ascii="仿宋" w:hAnsi="仿宋" w:eastAsia="仿宋" w:cs="仿宋"/>
                <w:sz w:val="24"/>
                <w:szCs w:val="24"/>
              </w:rPr>
            </w:pPr>
          </w:p>
        </w:tc>
        <w:tc>
          <w:tcPr>
            <w:tcW w:w="127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绩效目标完成情况</w:t>
            </w:r>
          </w:p>
        </w:tc>
        <w:tc>
          <w:tcPr>
            <w:tcW w:w="6917" w:type="dxa"/>
            <w:vAlign w:val="center"/>
          </w:tcPr>
          <w:p>
            <w:pPr>
              <w:pStyle w:val="7"/>
              <w:shd w:val="clear" w:color="auto" w:fill="FFFFFF"/>
              <w:spacing w:before="0" w:beforeAutospacing="0" w:after="0" w:afterAutospacing="0" w:line="360" w:lineRule="auto"/>
              <w:ind w:firstLine="640"/>
              <w:jc w:val="both"/>
              <w:rPr>
                <w:rFonts w:hint="eastAsia" w:ascii="仿宋" w:hAnsi="仿宋" w:eastAsia="仿宋" w:cs="仿宋"/>
                <w:kern w:val="2"/>
                <w:sz w:val="24"/>
                <w:szCs w:val="24"/>
                <w:lang w:eastAsia="zh-CN"/>
              </w:rPr>
            </w:pPr>
            <w:r>
              <w:rPr>
                <w:rFonts w:hint="eastAsia" w:ascii="仿宋" w:hAnsi="仿宋" w:eastAsia="仿宋" w:cs="仿宋"/>
                <w:kern w:val="2"/>
                <w:sz w:val="24"/>
                <w:szCs w:val="24"/>
              </w:rPr>
              <w:t>202</w:t>
            </w:r>
            <w:r>
              <w:rPr>
                <w:rFonts w:hint="eastAsia" w:ascii="仿宋" w:hAnsi="仿宋" w:eastAsia="仿宋" w:cs="仿宋"/>
                <w:kern w:val="2"/>
                <w:sz w:val="24"/>
                <w:szCs w:val="24"/>
                <w:lang w:val="en-US" w:eastAsia="zh-CN"/>
              </w:rPr>
              <w:t>2</w:t>
            </w:r>
            <w:r>
              <w:rPr>
                <w:rFonts w:hint="eastAsia" w:ascii="仿宋" w:hAnsi="仿宋" w:eastAsia="仿宋" w:cs="仿宋"/>
                <w:kern w:val="2"/>
                <w:sz w:val="24"/>
                <w:szCs w:val="24"/>
              </w:rPr>
              <w:t>年部门整体支出绩效自评结果显示，我所（中心）绩效管理情况较为理想，达到了年初设定的各项绩效目标。所有资金使用严格按审批程序办理、操作规范，会计核算结果真实、准确，各项支出严格按照各项制度执行</w:t>
            </w:r>
            <w:r>
              <w:rPr>
                <w:rFonts w:hint="eastAsia" w:ascii="仿宋" w:hAnsi="仿宋" w:eastAsia="仿宋" w:cs="仿宋"/>
                <w:kern w:val="2"/>
                <w:sz w:val="24"/>
                <w:szCs w:val="24"/>
                <w:lang w:eastAsia="zh-CN"/>
              </w:rPr>
              <w:t>，具体工作完成情况如下：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lang w:eastAsia="zh-CN"/>
              </w:rPr>
              <w:t>本所（中心）全面开展支部“五化”建设，充分发挥党员先锋模范作用和党支部战斗堡垒作用，为全面完成各项工作任务提供坚强的组织保障。全力开展“一活动一行动”，全体干部职工切实转变工作作风，营造了大干、快干、抓紧干、拼命干的良好氛围。在此基础上，本所（中心）积极创建“清廉技术机构”，成立了创建工作领导小组，把清廉机构建设与党建工作、党风廉政建设和学习教育等工作同安排、同部署、同推进，确保取得实效。作为桃李社区第一个“跑小二”党员志愿服务站，本单位组织召开工作推进会暨“心连心走基层、面对面解难题”活动，及时了解企业和社区所急、所需、所盼，用行动解决难题，访出真情、实情、温情。</w:t>
            </w:r>
          </w:p>
          <w:p>
            <w:pPr>
              <w:keepNext w:val="0"/>
              <w:keepLines w:val="0"/>
              <w:pageBreakBefore w:val="0"/>
              <w:numPr>
                <w:ilvl w:val="0"/>
                <w:numId w:val="0"/>
              </w:numPr>
              <w:kinsoku/>
              <w:wordWrap/>
              <w:overflowPunct/>
              <w:topLinePunct w:val="0"/>
              <w:autoSpaceDE/>
              <w:autoSpaceDN/>
              <w:bidi w:val="0"/>
              <w:adjustRightInd/>
              <w:spacing w:line="360" w:lineRule="auto"/>
              <w:ind w:firstLine="480" w:firstLineChars="200"/>
              <w:rPr>
                <w:rFonts w:hint="eastAsia" w:ascii="仿宋" w:hAnsi="仿宋" w:eastAsia="仿宋" w:cs="仿宋"/>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lang w:eastAsia="zh-CN"/>
              </w:rPr>
              <w:t>根据市局下达的《202</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lang w:eastAsia="zh-CN"/>
              </w:rPr>
              <w:t>年产品质量市级监督抽查计划》，从湘潭产业实际出发，全面开展重点工业产品监督抽查工作。</w:t>
            </w:r>
            <w:r>
              <w:rPr>
                <w:rFonts w:hint="eastAsia" w:ascii="仿宋" w:hAnsi="仿宋" w:eastAsia="仿宋" w:cs="仿宋"/>
                <w:color w:val="auto"/>
                <w:sz w:val="24"/>
                <w:szCs w:val="24"/>
                <w:lang w:val="en-US" w:eastAsia="zh-CN"/>
              </w:rPr>
              <w:t>全</w:t>
            </w:r>
            <w:r>
              <w:rPr>
                <w:rFonts w:hint="eastAsia" w:ascii="仿宋" w:hAnsi="仿宋" w:eastAsia="仿宋" w:cs="仿宋"/>
                <w:color w:val="auto"/>
                <w:sz w:val="24"/>
                <w:szCs w:val="24"/>
                <w:lang w:eastAsia="zh-CN"/>
              </w:rPr>
              <w:t>年完成抽检样品超出500批次。同时，</w:t>
            </w:r>
            <w:r>
              <w:rPr>
                <w:rStyle w:val="17"/>
                <w:rFonts w:hint="eastAsia" w:ascii="仿宋" w:hAnsi="仿宋" w:eastAsia="仿宋" w:cs="仿宋"/>
                <w:sz w:val="24"/>
                <w:szCs w:val="24"/>
              </w:rPr>
              <w:t>根据国家</w:t>
            </w:r>
            <w:r>
              <w:rPr>
                <w:rStyle w:val="17"/>
                <w:rFonts w:hint="eastAsia" w:ascii="仿宋" w:hAnsi="仿宋" w:eastAsia="仿宋" w:cs="仿宋"/>
                <w:sz w:val="24"/>
                <w:szCs w:val="24"/>
                <w:lang w:eastAsia="zh-CN"/>
              </w:rPr>
              <w:t>、省市相关文件要求，</w:t>
            </w:r>
            <w:r>
              <w:rPr>
                <w:rStyle w:val="17"/>
                <w:rFonts w:hint="eastAsia" w:ascii="仿宋" w:hAnsi="仿宋" w:eastAsia="仿宋" w:cs="仿宋"/>
                <w:sz w:val="24"/>
                <w:szCs w:val="24"/>
              </w:rPr>
              <w:t>本所（中心）</w:t>
            </w:r>
            <w:r>
              <w:rPr>
                <w:rStyle w:val="17"/>
                <w:rFonts w:hint="eastAsia" w:ascii="仿宋" w:hAnsi="仿宋" w:eastAsia="仿宋" w:cs="仿宋"/>
                <w:sz w:val="24"/>
                <w:szCs w:val="24"/>
                <w:lang w:eastAsia="zh-CN"/>
              </w:rPr>
              <w:t>还</w:t>
            </w:r>
            <w:r>
              <w:rPr>
                <w:rStyle w:val="17"/>
                <w:rFonts w:hint="eastAsia" w:ascii="仿宋" w:hAnsi="仿宋" w:eastAsia="仿宋" w:cs="仿宋"/>
                <w:sz w:val="24"/>
                <w:szCs w:val="24"/>
              </w:rPr>
              <w:t>开展</w:t>
            </w:r>
            <w:r>
              <w:rPr>
                <w:rStyle w:val="17"/>
                <w:rFonts w:hint="eastAsia" w:ascii="仿宋" w:hAnsi="仿宋" w:eastAsia="仿宋" w:cs="仿宋"/>
                <w:sz w:val="24"/>
                <w:szCs w:val="24"/>
                <w:lang w:eastAsia="zh-CN"/>
              </w:rPr>
              <w:t>了农资、燃气</w:t>
            </w:r>
            <w:r>
              <w:rPr>
                <w:rStyle w:val="17"/>
                <w:rFonts w:hint="eastAsia" w:ascii="仿宋" w:hAnsi="仿宋" w:eastAsia="仿宋" w:cs="仿宋"/>
                <w:sz w:val="24"/>
                <w:szCs w:val="24"/>
              </w:rPr>
              <w:t>、电动自行车、</w:t>
            </w:r>
            <w:r>
              <w:rPr>
                <w:rStyle w:val="17"/>
                <w:rFonts w:hint="eastAsia" w:ascii="仿宋" w:hAnsi="仿宋" w:eastAsia="仿宋" w:cs="仿宋"/>
                <w:sz w:val="24"/>
                <w:szCs w:val="24"/>
                <w:lang w:eastAsia="zh-CN"/>
              </w:rPr>
              <w:t>涉老产品（老年服饰、老视成镜）</w:t>
            </w:r>
            <w:r>
              <w:rPr>
                <w:rStyle w:val="17"/>
                <w:rFonts w:hint="eastAsia" w:ascii="仿宋" w:hAnsi="仿宋" w:eastAsia="仿宋" w:cs="仿宋"/>
                <w:sz w:val="24"/>
                <w:szCs w:val="24"/>
              </w:rPr>
              <w:t>等多个产品质量安全专项抽检工作</w:t>
            </w:r>
            <w:r>
              <w:rPr>
                <w:rFonts w:hint="eastAsia" w:ascii="仿宋" w:hAnsi="仿宋" w:eastAsia="仿宋" w:cs="仿宋"/>
                <w:color w:val="auto"/>
                <w:sz w:val="24"/>
                <w:szCs w:val="24"/>
                <w:lang w:eastAsia="zh-CN"/>
              </w:rPr>
              <w:t>。</w:t>
            </w:r>
            <w:r>
              <w:rPr>
                <w:rFonts w:hint="eastAsia" w:ascii="仿宋" w:hAnsi="仿宋" w:eastAsia="仿宋" w:cs="仿宋"/>
                <w:sz w:val="24"/>
                <w:szCs w:val="24"/>
              </w:rPr>
              <w:t>产品质量监督抽查与专项抽查的有机结合，有效保障了我市产品质量安全，为企业提升产品质量提供依据，为市委市政府提供决策参考，为消费者平安健康、社会和谐保驾护航。</w:t>
            </w:r>
          </w:p>
          <w:p>
            <w:pPr>
              <w:keepNext w:val="0"/>
              <w:keepLines w:val="0"/>
              <w:pageBreakBefore w:val="0"/>
              <w:numPr>
                <w:ilvl w:val="0"/>
                <w:numId w:val="0"/>
              </w:numPr>
              <w:kinsoku/>
              <w:wordWrap/>
              <w:overflowPunct/>
              <w:topLinePunct w:val="0"/>
              <w:autoSpaceDE/>
              <w:autoSpaceDN/>
              <w:bidi w:val="0"/>
              <w:adjustRightInd/>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3、本所（中心）</w:t>
            </w:r>
            <w:r>
              <w:rPr>
                <w:rFonts w:hint="eastAsia" w:ascii="仿宋" w:hAnsi="仿宋" w:eastAsia="仿宋" w:cs="仿宋"/>
                <w:color w:val="auto"/>
                <w:sz w:val="24"/>
                <w:szCs w:val="24"/>
              </w:rPr>
              <w:t>充分发挥</w:t>
            </w:r>
            <w:r>
              <w:rPr>
                <w:rFonts w:hint="eastAsia" w:ascii="仿宋" w:hAnsi="仿宋" w:eastAsia="仿宋" w:cs="仿宋"/>
                <w:color w:val="auto"/>
                <w:sz w:val="24"/>
                <w:szCs w:val="24"/>
                <w:lang w:eastAsia="zh-CN"/>
              </w:rPr>
              <w:t>自身专业技术优势，</w:t>
            </w:r>
            <w:r>
              <w:rPr>
                <w:rFonts w:hint="eastAsia" w:ascii="仿宋" w:hAnsi="仿宋" w:eastAsia="仿宋" w:cs="仿宋"/>
                <w:color w:val="auto"/>
                <w:sz w:val="24"/>
                <w:szCs w:val="24"/>
                <w:lang w:val="en-US" w:eastAsia="zh-CN"/>
              </w:rPr>
              <w:t>倾听企业发展诉求，助力企业纾困增效。年初，派出专业技术团队远赴广东省阳江市为</w:t>
            </w:r>
            <w:r>
              <w:rPr>
                <w:rFonts w:hint="eastAsia" w:ascii="仿宋" w:hAnsi="仿宋" w:eastAsia="仿宋" w:cs="仿宋"/>
                <w:color w:val="auto"/>
                <w:sz w:val="24"/>
                <w:szCs w:val="24"/>
              </w:rPr>
              <w:t>中冶京诚（湘潭）矿山装备有限公司研制生产的“新能源电池机车”</w:t>
            </w:r>
            <w:r>
              <w:rPr>
                <w:rFonts w:hint="eastAsia" w:ascii="仿宋" w:hAnsi="仿宋" w:eastAsia="仿宋" w:cs="仿宋"/>
                <w:color w:val="auto"/>
                <w:sz w:val="24"/>
                <w:szCs w:val="24"/>
                <w:lang w:eastAsia="zh-CN"/>
              </w:rPr>
              <w:t>开展</w:t>
            </w:r>
            <w:r>
              <w:rPr>
                <w:rFonts w:hint="eastAsia" w:ascii="仿宋" w:hAnsi="仿宋" w:eastAsia="仿宋" w:cs="仿宋"/>
                <w:color w:val="auto"/>
                <w:sz w:val="24"/>
                <w:szCs w:val="24"/>
              </w:rPr>
              <w:t>全方位检测和企业标准初步制定工作</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这台车的使用开启了国内厂内转运车辆的新能源时代，实现节能减排40%以上。</w:t>
            </w:r>
            <w:r>
              <w:rPr>
                <w:rFonts w:hint="eastAsia" w:ascii="仿宋" w:hAnsi="仿宋" w:eastAsia="仿宋" w:cs="仿宋"/>
                <w:color w:val="auto"/>
                <w:sz w:val="24"/>
                <w:szCs w:val="24"/>
                <w:lang w:val="en-US" w:eastAsia="zh-CN"/>
              </w:rPr>
              <w:t>这是炼钢炼铁行业运输过程中节能减排的一个重大突破。此次企业服务入选了全省市场监管系统标准助企纾困 促进“小个专”健康发展专项活动第一批典型案例；8月，专业技术人员</w:t>
            </w:r>
            <w:r>
              <w:rPr>
                <w:rFonts w:hint="eastAsia" w:ascii="仿宋" w:hAnsi="仿宋" w:eastAsia="仿宋" w:cs="仿宋"/>
                <w:sz w:val="24"/>
                <w:szCs w:val="24"/>
                <w:lang w:eastAsia="zh-CN"/>
              </w:rPr>
              <w:t>不惧</w:t>
            </w:r>
            <w:r>
              <w:rPr>
                <w:rFonts w:hint="eastAsia" w:ascii="仿宋" w:hAnsi="仿宋" w:eastAsia="仿宋" w:cs="仿宋"/>
                <w:sz w:val="24"/>
                <w:szCs w:val="24"/>
              </w:rPr>
              <w:t>新冠疫情、烈日酷暑，远赴塞北瀚海内蒙古自治区，</w:t>
            </w:r>
            <w:r>
              <w:rPr>
                <w:rFonts w:hint="eastAsia" w:ascii="仿宋" w:hAnsi="仿宋" w:eastAsia="仿宋" w:cs="仿宋"/>
                <w:sz w:val="24"/>
                <w:szCs w:val="24"/>
                <w:lang w:eastAsia="zh-CN"/>
              </w:rPr>
              <w:t>圆满完成了</w:t>
            </w:r>
            <w:r>
              <w:rPr>
                <w:rFonts w:hint="eastAsia" w:ascii="仿宋" w:hAnsi="仿宋" w:eastAsia="仿宋" w:cs="仿宋"/>
                <w:sz w:val="24"/>
                <w:szCs w:val="24"/>
              </w:rPr>
              <w:t>湘潭开元机电制造有限公司“非公路用宽体自卸车纯电驱动改造”项目性能测试，取得多项试验成果，为企业</w:t>
            </w:r>
            <w:r>
              <w:rPr>
                <w:rFonts w:hint="eastAsia" w:ascii="仿宋" w:hAnsi="仿宋" w:eastAsia="仿宋" w:cs="仿宋"/>
                <w:sz w:val="24"/>
                <w:szCs w:val="24"/>
                <w:lang w:eastAsia="zh-CN"/>
              </w:rPr>
              <w:t>提供</w:t>
            </w:r>
            <w:r>
              <w:rPr>
                <w:rFonts w:hint="eastAsia" w:ascii="仿宋" w:hAnsi="仿宋" w:eastAsia="仿宋" w:cs="仿宋"/>
                <w:sz w:val="24"/>
                <w:szCs w:val="24"/>
              </w:rPr>
              <w:t>了新产品鉴定所需技术数据。</w:t>
            </w:r>
            <w:r>
              <w:rPr>
                <w:rFonts w:hint="eastAsia" w:ascii="仿宋" w:hAnsi="仿宋" w:eastAsia="仿宋" w:cs="仿宋"/>
                <w:sz w:val="24"/>
                <w:szCs w:val="24"/>
                <w:lang w:eastAsia="zh-CN"/>
              </w:rPr>
              <w:t>此次</w:t>
            </w:r>
            <w:r>
              <w:rPr>
                <w:rFonts w:hint="eastAsia" w:ascii="仿宋" w:hAnsi="仿宋" w:eastAsia="仿宋" w:cs="仿宋"/>
                <w:sz w:val="24"/>
                <w:szCs w:val="24"/>
              </w:rPr>
              <w:t>服务促进了企业完善技术标准，提升了产品质量，为产品迅速进入市场奠定了基础</w:t>
            </w:r>
            <w:r>
              <w:rPr>
                <w:rFonts w:hint="eastAsia" w:ascii="仿宋" w:hAnsi="仿宋" w:eastAsia="仿宋" w:cs="仿宋"/>
                <w:sz w:val="24"/>
                <w:szCs w:val="24"/>
                <w:lang w:eastAsia="zh-CN"/>
              </w:rPr>
              <w:t>，将成为</w:t>
            </w:r>
            <w:r>
              <w:rPr>
                <w:rFonts w:hint="eastAsia" w:ascii="仿宋" w:hAnsi="仿宋" w:eastAsia="仿宋" w:cs="仿宋"/>
                <w:sz w:val="24"/>
                <w:szCs w:val="24"/>
              </w:rPr>
              <w:t>重点推进</w:t>
            </w:r>
            <w:bookmarkStart w:id="0" w:name="_Hlk112238207"/>
            <w:r>
              <w:rPr>
                <w:rFonts w:hint="eastAsia" w:ascii="仿宋" w:hAnsi="仿宋" w:eastAsia="仿宋" w:cs="仿宋"/>
                <w:sz w:val="24"/>
                <w:szCs w:val="24"/>
              </w:rPr>
              <w:t>“两新三电”特色产业</w:t>
            </w:r>
            <w:bookmarkEnd w:id="0"/>
            <w:r>
              <w:rPr>
                <w:rFonts w:hint="eastAsia" w:ascii="仿宋" w:hAnsi="仿宋" w:eastAsia="仿宋" w:cs="仿宋"/>
                <w:sz w:val="24"/>
                <w:szCs w:val="24"/>
              </w:rPr>
              <w:t>建设,打造“工矿机械纯电动产业链”特色产业集群，在</w:t>
            </w:r>
            <w:bookmarkStart w:id="1" w:name="_Hlk112238581"/>
            <w:r>
              <w:rPr>
                <w:rFonts w:hint="eastAsia" w:ascii="仿宋" w:hAnsi="仿宋" w:eastAsia="仿宋" w:cs="仿宋"/>
                <w:sz w:val="24"/>
                <w:szCs w:val="24"/>
              </w:rPr>
              <w:t>强链、补链</w:t>
            </w:r>
            <w:bookmarkEnd w:id="1"/>
            <w:r>
              <w:rPr>
                <w:rFonts w:hint="eastAsia" w:ascii="仿宋" w:hAnsi="仿宋" w:eastAsia="仿宋" w:cs="仿宋"/>
                <w:sz w:val="24"/>
                <w:szCs w:val="24"/>
              </w:rPr>
              <w:t>、产业链优化推进工作中的又一重要里程碑。</w:t>
            </w:r>
            <w:r>
              <w:rPr>
                <w:rFonts w:hint="eastAsia" w:ascii="仿宋" w:hAnsi="仿宋" w:eastAsia="仿宋" w:cs="仿宋"/>
                <w:sz w:val="24"/>
                <w:szCs w:val="24"/>
                <w:lang w:eastAsia="zh-CN"/>
              </w:rPr>
              <w:t>此外，</w:t>
            </w:r>
            <w:r>
              <w:rPr>
                <w:rStyle w:val="17"/>
                <w:rFonts w:hint="eastAsia" w:ascii="仿宋" w:hAnsi="仿宋" w:eastAsia="仿宋" w:cs="仿宋"/>
                <w:color w:val="auto"/>
                <w:sz w:val="24"/>
                <w:szCs w:val="24"/>
              </w:rPr>
              <w:t>我们还相继为</w:t>
            </w:r>
            <w:r>
              <w:rPr>
                <w:rFonts w:hint="eastAsia" w:ascii="仿宋" w:hAnsi="仿宋" w:eastAsia="仿宋" w:cs="仿宋"/>
                <w:color w:val="auto"/>
                <w:sz w:val="24"/>
                <w:szCs w:val="24"/>
                <w:lang w:val="en-US" w:eastAsia="zh-CN"/>
              </w:rPr>
              <w:t>湘潭电机股份有限公司</w:t>
            </w:r>
            <w:r>
              <w:rPr>
                <w:rFonts w:hint="eastAsia" w:ascii="仿宋" w:hAnsi="仿宋" w:eastAsia="仿宋" w:cs="仿宋"/>
                <w:color w:val="auto"/>
                <w:kern w:val="0"/>
                <w:sz w:val="24"/>
                <w:szCs w:val="24"/>
                <w:lang w:eastAsia="zh-CN"/>
              </w:rPr>
              <w:t>、</w:t>
            </w:r>
            <w:r>
              <w:rPr>
                <w:rStyle w:val="17"/>
                <w:rFonts w:hint="eastAsia" w:ascii="仿宋" w:hAnsi="仿宋" w:eastAsia="仿宋" w:cs="仿宋"/>
                <w:sz w:val="24"/>
                <w:szCs w:val="24"/>
              </w:rPr>
              <w:t>湘潭市特种线缆股份有限公司</w:t>
            </w:r>
            <w:r>
              <w:rPr>
                <w:rStyle w:val="17"/>
                <w:rFonts w:hint="eastAsia" w:ascii="仿宋" w:hAnsi="仿宋" w:eastAsia="仿宋" w:cs="仿宋"/>
                <w:color w:val="auto"/>
                <w:sz w:val="24"/>
                <w:szCs w:val="24"/>
              </w:rPr>
              <w:t>等企业开展了免费的技术指导和检验检测服务。</w:t>
            </w:r>
            <w:r>
              <w:rPr>
                <w:rStyle w:val="17"/>
                <w:rFonts w:hint="eastAsia" w:ascii="仿宋" w:hAnsi="仿宋" w:eastAsia="仿宋" w:cs="仿宋"/>
                <w:color w:val="auto"/>
                <w:sz w:val="24"/>
                <w:szCs w:val="24"/>
                <w:lang w:eastAsia="zh-CN"/>
              </w:rPr>
              <w:t>本所（中心）全年</w:t>
            </w:r>
            <w:r>
              <w:rPr>
                <w:rStyle w:val="17"/>
                <w:rFonts w:hint="eastAsia" w:ascii="仿宋" w:hAnsi="仿宋" w:eastAsia="仿宋" w:cs="仿宋"/>
                <w:color w:val="auto"/>
                <w:sz w:val="24"/>
                <w:szCs w:val="24"/>
              </w:rPr>
              <w:t>共</w:t>
            </w:r>
            <w:r>
              <w:rPr>
                <w:rFonts w:hint="eastAsia" w:ascii="仿宋" w:hAnsi="仿宋" w:eastAsia="仿宋" w:cs="仿宋"/>
                <w:color w:val="auto"/>
                <w:sz w:val="24"/>
                <w:szCs w:val="24"/>
              </w:rPr>
              <w:t>受理各类产品委托检验</w:t>
            </w:r>
            <w:r>
              <w:rPr>
                <w:rFonts w:hint="eastAsia" w:ascii="仿宋" w:hAnsi="仿宋" w:eastAsia="仿宋" w:cs="仿宋"/>
                <w:color w:val="auto"/>
                <w:sz w:val="24"/>
                <w:szCs w:val="24"/>
                <w:lang w:val="en-US" w:eastAsia="zh-CN"/>
              </w:rPr>
              <w:t>200多</w:t>
            </w:r>
            <w:r>
              <w:rPr>
                <w:rFonts w:hint="eastAsia" w:ascii="仿宋" w:hAnsi="仿宋" w:eastAsia="仿宋" w:cs="仿宋"/>
                <w:color w:val="auto"/>
                <w:sz w:val="24"/>
                <w:szCs w:val="24"/>
              </w:rPr>
              <w:t>批次</w:t>
            </w:r>
            <w:r>
              <w:rPr>
                <w:rFonts w:hint="eastAsia" w:ascii="仿宋" w:hAnsi="仿宋" w:eastAsia="仿宋" w:cs="仿宋"/>
                <w:color w:val="auto"/>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9"/>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sz w:val="24"/>
                <w:szCs w:val="24"/>
                <w:lang w:val="en-US" w:eastAsia="zh-CN"/>
              </w:rPr>
              <w:t>4、湘潭市产商品质量监督检验所和湖南省地方特色食品质量监督检验中心于年初通过评审获得CMA资质证书。</w:t>
            </w:r>
            <w:r>
              <w:rPr>
                <w:rStyle w:val="17"/>
                <w:rFonts w:hint="eastAsia" w:ascii="仿宋" w:hAnsi="仿宋" w:eastAsia="仿宋" w:cs="仿宋"/>
                <w:sz w:val="24"/>
                <w:szCs w:val="24"/>
              </w:rPr>
              <w:t>认定的资质</w:t>
            </w:r>
            <w:r>
              <w:rPr>
                <w:rStyle w:val="17"/>
                <w:rFonts w:hint="eastAsia" w:ascii="仿宋" w:hAnsi="仿宋" w:eastAsia="仿宋" w:cs="仿宋"/>
                <w:sz w:val="24"/>
                <w:szCs w:val="24"/>
                <w:lang w:eastAsia="zh-CN"/>
              </w:rPr>
              <w:t>分别</w:t>
            </w:r>
            <w:r>
              <w:rPr>
                <w:rStyle w:val="17"/>
                <w:rFonts w:hint="eastAsia" w:ascii="仿宋" w:hAnsi="仿宋" w:eastAsia="仿宋" w:cs="仿宋"/>
                <w:sz w:val="24"/>
                <w:szCs w:val="24"/>
              </w:rPr>
              <w:t>包括</w:t>
            </w:r>
            <w:r>
              <w:rPr>
                <w:rStyle w:val="17"/>
                <w:rFonts w:hint="eastAsia" w:ascii="仿宋" w:hAnsi="仿宋" w:eastAsia="仿宋" w:cs="仿宋"/>
                <w:sz w:val="24"/>
                <w:szCs w:val="24"/>
                <w:lang w:val="en-US" w:eastAsia="zh-CN"/>
              </w:rPr>
              <w:t>:</w:t>
            </w:r>
            <w:r>
              <w:rPr>
                <w:rStyle w:val="17"/>
                <w:rFonts w:hint="eastAsia" w:ascii="仿宋" w:hAnsi="仿宋" w:eastAsia="仿宋" w:cs="仿宋"/>
                <w:sz w:val="24"/>
                <w:szCs w:val="24"/>
              </w:rPr>
              <w:t>化工、</w:t>
            </w:r>
            <w:r>
              <w:rPr>
                <w:rStyle w:val="17"/>
                <w:rFonts w:hint="eastAsia" w:ascii="仿宋" w:hAnsi="仿宋" w:eastAsia="仿宋" w:cs="仿宋"/>
                <w:sz w:val="24"/>
                <w:szCs w:val="24"/>
                <w:lang w:val="en-US" w:eastAsia="zh-CN"/>
              </w:rPr>
              <w:t>环境、</w:t>
            </w:r>
            <w:r>
              <w:rPr>
                <w:rStyle w:val="17"/>
                <w:rFonts w:hint="eastAsia" w:ascii="仿宋" w:hAnsi="仿宋" w:eastAsia="仿宋" w:cs="仿宋"/>
                <w:sz w:val="24"/>
                <w:szCs w:val="24"/>
              </w:rPr>
              <w:t>金属材料、贵金属、机械、电器、轻工、建材、食品、食品相关产品、饲料共十</w:t>
            </w:r>
            <w:r>
              <w:rPr>
                <w:rStyle w:val="17"/>
                <w:rFonts w:hint="eastAsia" w:ascii="仿宋" w:hAnsi="仿宋" w:eastAsia="仿宋" w:cs="仿宋"/>
                <w:sz w:val="24"/>
                <w:szCs w:val="24"/>
                <w:lang w:val="en-US" w:eastAsia="zh-CN"/>
              </w:rPr>
              <w:t>一</w:t>
            </w:r>
            <w:r>
              <w:rPr>
                <w:rStyle w:val="17"/>
                <w:rFonts w:hint="eastAsia" w:ascii="仿宋" w:hAnsi="仿宋" w:eastAsia="仿宋" w:cs="仿宋"/>
                <w:sz w:val="24"/>
                <w:szCs w:val="24"/>
              </w:rPr>
              <w:t>大类512个产品、2996个参数</w:t>
            </w:r>
            <w:r>
              <w:rPr>
                <w:rStyle w:val="17"/>
                <w:rFonts w:hint="eastAsia" w:ascii="仿宋" w:hAnsi="仿宋" w:eastAsia="仿宋" w:cs="仿宋"/>
                <w:sz w:val="24"/>
                <w:szCs w:val="24"/>
                <w:lang w:eastAsia="zh-CN"/>
              </w:rPr>
              <w:t>（</w:t>
            </w:r>
            <w:r>
              <w:rPr>
                <w:rStyle w:val="17"/>
                <w:rFonts w:hint="eastAsia" w:ascii="仿宋" w:hAnsi="仿宋" w:eastAsia="仿宋" w:cs="仿宋"/>
                <w:sz w:val="24"/>
                <w:szCs w:val="24"/>
              </w:rPr>
              <w:t>其中标准变更398个，扩项375个参数</w:t>
            </w:r>
            <w:r>
              <w:rPr>
                <w:rStyle w:val="17"/>
                <w:rFonts w:hint="eastAsia" w:ascii="仿宋" w:hAnsi="仿宋" w:eastAsia="仿宋" w:cs="仿宋"/>
                <w:sz w:val="24"/>
                <w:szCs w:val="24"/>
                <w:lang w:eastAsia="zh-CN"/>
              </w:rPr>
              <w:t>）；</w:t>
            </w:r>
            <w:r>
              <w:rPr>
                <w:rStyle w:val="17"/>
                <w:rFonts w:hint="eastAsia" w:ascii="仿宋" w:hAnsi="仿宋" w:eastAsia="仿宋" w:cs="仿宋"/>
                <w:sz w:val="24"/>
                <w:szCs w:val="24"/>
              </w:rPr>
              <w:t>食品、食品相关产品两类72个产品、703个参数</w:t>
            </w:r>
            <w:r>
              <w:rPr>
                <w:rStyle w:val="17"/>
                <w:rFonts w:hint="eastAsia" w:ascii="仿宋" w:hAnsi="仿宋" w:eastAsia="仿宋" w:cs="仿宋"/>
                <w:sz w:val="24"/>
                <w:szCs w:val="24"/>
                <w:lang w:val="en-US" w:eastAsia="zh-CN"/>
              </w:rPr>
              <w:t>(</w:t>
            </w:r>
            <w:r>
              <w:rPr>
                <w:rStyle w:val="17"/>
                <w:rFonts w:hint="eastAsia" w:ascii="仿宋" w:hAnsi="仿宋" w:eastAsia="仿宋" w:cs="仿宋"/>
                <w:sz w:val="24"/>
                <w:szCs w:val="24"/>
              </w:rPr>
              <w:t>其中标准变更33个，扩项40个参数</w:t>
            </w:r>
            <w:r>
              <w:rPr>
                <w:rStyle w:val="17"/>
                <w:rFonts w:hint="eastAsia" w:ascii="仿宋" w:hAnsi="仿宋" w:eastAsia="仿宋" w:cs="仿宋"/>
                <w:sz w:val="24"/>
                <w:szCs w:val="24"/>
                <w:lang w:val="en-US" w:eastAsia="zh-CN"/>
              </w:rPr>
              <w:t>)</w:t>
            </w:r>
            <w:r>
              <w:rPr>
                <w:rStyle w:val="17"/>
                <w:rFonts w:hint="eastAsia" w:ascii="仿宋" w:hAnsi="仿宋" w:eastAsia="仿宋" w:cs="仿宋"/>
                <w:sz w:val="24"/>
                <w:szCs w:val="24"/>
              </w:rPr>
              <w:t>。</w:t>
            </w:r>
            <w:r>
              <w:rPr>
                <w:rFonts w:hint="eastAsia" w:ascii="仿宋" w:hAnsi="仿宋" w:eastAsia="仿宋" w:cs="仿宋"/>
                <w:sz w:val="24"/>
                <w:szCs w:val="24"/>
              </w:rPr>
              <w:t>为</w:t>
            </w:r>
            <w:r>
              <w:rPr>
                <w:rFonts w:hint="eastAsia" w:ascii="仿宋" w:hAnsi="仿宋" w:eastAsia="仿宋" w:cs="仿宋"/>
                <w:sz w:val="24"/>
                <w:szCs w:val="24"/>
                <w:lang w:eastAsia="zh-CN"/>
              </w:rPr>
              <w:t>不断</w:t>
            </w:r>
            <w:r>
              <w:rPr>
                <w:rFonts w:hint="eastAsia" w:ascii="仿宋" w:hAnsi="仿宋" w:eastAsia="仿宋" w:cs="仿宋"/>
                <w:sz w:val="24"/>
                <w:szCs w:val="24"/>
                <w:lang w:val="en-US" w:eastAsia="zh-CN"/>
              </w:rPr>
              <w:t>提升资质能力，满足服务需要</w:t>
            </w:r>
            <w:r>
              <w:rPr>
                <w:rFonts w:hint="eastAsia" w:ascii="仿宋" w:hAnsi="仿宋" w:eastAsia="仿宋" w:cs="仿宋"/>
                <w:sz w:val="24"/>
                <w:szCs w:val="24"/>
              </w:rPr>
              <w:t>，我所（中心）</w:t>
            </w:r>
            <w:r>
              <w:rPr>
                <w:rFonts w:hint="eastAsia" w:ascii="仿宋" w:hAnsi="仿宋" w:eastAsia="仿宋" w:cs="仿宋"/>
                <w:sz w:val="24"/>
                <w:szCs w:val="24"/>
                <w:lang w:eastAsia="zh-CN"/>
              </w:rPr>
              <w:t>今年政府采购</w:t>
            </w:r>
            <w:r>
              <w:rPr>
                <w:rFonts w:hint="eastAsia" w:ascii="仿宋" w:hAnsi="仿宋" w:eastAsia="仿宋" w:cs="仿宋"/>
                <w:sz w:val="24"/>
                <w:szCs w:val="24"/>
                <w:lang w:val="en-US" w:eastAsia="zh-CN"/>
              </w:rPr>
              <w:t>80多万元仪器设备。</w:t>
            </w:r>
            <w:r>
              <w:rPr>
                <w:rFonts w:hint="eastAsia" w:ascii="仿宋" w:hAnsi="仿宋" w:eastAsia="仿宋" w:cs="仿宋"/>
                <w:b w:val="0"/>
                <w:bCs w:val="0"/>
                <w:color w:val="auto"/>
                <w:sz w:val="24"/>
                <w:szCs w:val="24"/>
                <w:lang w:val="en-US" w:eastAsia="zh-CN"/>
              </w:rPr>
              <w:t>下一步，还将在附属楼车间</w:t>
            </w:r>
            <w:r>
              <w:rPr>
                <w:rFonts w:hint="eastAsia" w:ascii="仿宋" w:hAnsi="仿宋" w:eastAsia="仿宋" w:cs="仿宋"/>
                <w:b w:val="0"/>
                <w:bCs w:val="0"/>
                <w:color w:val="auto"/>
                <w:sz w:val="24"/>
                <w:szCs w:val="24"/>
              </w:rPr>
              <w:t>填平</w:t>
            </w:r>
            <w:r>
              <w:rPr>
                <w:rFonts w:hint="eastAsia" w:ascii="仿宋" w:hAnsi="仿宋" w:eastAsia="仿宋" w:cs="仿宋"/>
                <w:color w:val="auto"/>
                <w:sz w:val="24"/>
                <w:szCs w:val="24"/>
              </w:rPr>
              <w:t>补齐大型成套智能制造装备所需的环境试验检验检测能力，</w:t>
            </w:r>
            <w:r>
              <w:rPr>
                <w:rFonts w:hint="eastAsia" w:ascii="仿宋" w:hAnsi="仿宋" w:eastAsia="仿宋" w:cs="仿宋"/>
                <w:color w:val="auto"/>
                <w:sz w:val="24"/>
                <w:szCs w:val="24"/>
                <w:lang w:eastAsia="zh-CN"/>
              </w:rPr>
              <w:t>旨在</w:t>
            </w:r>
            <w:r>
              <w:rPr>
                <w:rFonts w:hint="eastAsia" w:ascii="仿宋" w:hAnsi="仿宋" w:eastAsia="仿宋" w:cs="仿宋"/>
                <w:color w:val="auto"/>
                <w:sz w:val="24"/>
                <w:szCs w:val="24"/>
              </w:rPr>
              <w:t>将国检中心、质检所服务水平</w:t>
            </w:r>
            <w:r>
              <w:rPr>
                <w:rFonts w:hint="eastAsia" w:ascii="仿宋" w:hAnsi="仿宋" w:eastAsia="仿宋" w:cs="仿宋"/>
                <w:color w:val="auto"/>
                <w:sz w:val="24"/>
                <w:szCs w:val="24"/>
                <w:lang w:eastAsia="zh-CN"/>
              </w:rPr>
              <w:t>和能力推上新的</w:t>
            </w:r>
            <w:r>
              <w:rPr>
                <w:rFonts w:hint="eastAsia" w:ascii="仿宋" w:hAnsi="仿宋" w:eastAsia="仿宋" w:cs="仿宋"/>
                <w:color w:val="auto"/>
                <w:sz w:val="24"/>
                <w:szCs w:val="24"/>
              </w:rPr>
              <w:t>台阶</w:t>
            </w:r>
            <w:r>
              <w:rPr>
                <w:rFonts w:hint="eastAsia" w:ascii="仿宋" w:hAnsi="仿宋" w:eastAsia="仿宋" w:cs="仿宋"/>
                <w:color w:val="auto"/>
                <w:sz w:val="24"/>
                <w:szCs w:val="24"/>
                <w:lang w:eastAsia="zh-CN"/>
              </w:rPr>
              <w:t>。</w:t>
            </w:r>
          </w:p>
          <w:p>
            <w:pPr>
              <w:keepNext w:val="0"/>
              <w:keepLines w:val="0"/>
              <w:pageBreakBefore w:val="0"/>
              <w:widowControl w:val="0"/>
              <w:tabs>
                <w:tab w:val="left" w:pos="441"/>
              </w:tabs>
              <w:kinsoku/>
              <w:wordWrap/>
              <w:overflowPunct/>
              <w:topLinePunct w:val="0"/>
              <w:autoSpaceDE/>
              <w:autoSpaceDN/>
              <w:bidi w:val="0"/>
              <w:adjustRightInd/>
              <w:snapToGrid w:val="0"/>
              <w:spacing w:line="360" w:lineRule="auto"/>
              <w:jc w:val="left"/>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val="en-US" w:eastAsia="zh-CN"/>
              </w:rPr>
              <w:t>今年，本所（中心）还开展了电气产品绕组温升、金属洛氏硬度、水中铅等16个项目参数的能力验证和测量审核;组织通过了3个</w:t>
            </w:r>
            <w:r>
              <w:rPr>
                <w:rFonts w:hint="eastAsia" w:ascii="仿宋" w:hAnsi="仿宋" w:eastAsia="仿宋" w:cs="仿宋"/>
                <w:sz w:val="24"/>
                <w:szCs w:val="24"/>
              </w:rPr>
              <w:t>省局科技计划项目</w:t>
            </w:r>
            <w:r>
              <w:rPr>
                <w:rFonts w:hint="eastAsia" w:ascii="仿宋" w:hAnsi="仿宋" w:eastAsia="仿宋" w:cs="仿宋"/>
                <w:sz w:val="24"/>
                <w:szCs w:val="24"/>
                <w:lang w:val="en-US" w:eastAsia="zh-CN"/>
              </w:rPr>
              <w:t>验收工作，并</w:t>
            </w:r>
            <w:r>
              <w:rPr>
                <w:rStyle w:val="17"/>
                <w:rFonts w:hint="eastAsia" w:ascii="仿宋" w:hAnsi="仿宋" w:eastAsia="仿宋" w:cs="仿宋"/>
                <w:color w:val="auto"/>
                <w:sz w:val="24"/>
                <w:szCs w:val="24"/>
                <w:lang w:eastAsia="zh-CN"/>
              </w:rPr>
              <w:t>成功申报</w:t>
            </w:r>
            <w:r>
              <w:rPr>
                <w:rStyle w:val="17"/>
                <w:rFonts w:hint="eastAsia" w:ascii="仿宋" w:hAnsi="仿宋" w:eastAsia="仿宋" w:cs="仿宋"/>
                <w:color w:val="auto"/>
                <w:sz w:val="24"/>
                <w:szCs w:val="24"/>
                <w:lang w:val="en-US" w:eastAsia="zh-CN"/>
              </w:rPr>
              <w:t>省自然科学基金科市联合项目《基于力磁效应的自卸车螺栓松动检测技术研究》和2022年</w:t>
            </w:r>
            <w:r>
              <w:rPr>
                <w:rStyle w:val="17"/>
                <w:rFonts w:hint="eastAsia" w:ascii="仿宋" w:hAnsi="仿宋" w:eastAsia="仿宋" w:cs="仿宋"/>
                <w:color w:val="auto"/>
                <w:sz w:val="24"/>
                <w:szCs w:val="24"/>
              </w:rPr>
              <w:t>省局能力提升储备项目《环境试验检测能力提升》，</w:t>
            </w:r>
            <w:r>
              <w:rPr>
                <w:rStyle w:val="17"/>
                <w:rFonts w:hint="eastAsia" w:ascii="仿宋" w:hAnsi="仿宋" w:eastAsia="仿宋" w:cs="仿宋"/>
                <w:color w:val="auto"/>
                <w:sz w:val="24"/>
                <w:szCs w:val="24"/>
                <w:lang w:eastAsia="zh-CN"/>
              </w:rPr>
              <w:t>获得专项资金</w:t>
            </w:r>
            <w:r>
              <w:rPr>
                <w:rStyle w:val="17"/>
                <w:rFonts w:hint="eastAsia" w:ascii="仿宋" w:hAnsi="仿宋" w:eastAsia="仿宋" w:cs="仿宋"/>
                <w:color w:val="auto"/>
                <w:sz w:val="24"/>
                <w:szCs w:val="24"/>
                <w:lang w:val="en-US" w:eastAsia="zh-CN"/>
              </w:rPr>
              <w:t>30</w:t>
            </w:r>
            <w:r>
              <w:rPr>
                <w:rStyle w:val="17"/>
                <w:rFonts w:hint="eastAsia" w:ascii="仿宋" w:hAnsi="仿宋" w:eastAsia="仿宋" w:cs="仿宋"/>
                <w:color w:val="auto"/>
                <w:sz w:val="24"/>
                <w:szCs w:val="24"/>
              </w:rPr>
              <w:t>万元</w:t>
            </w:r>
            <w:r>
              <w:rPr>
                <w:rStyle w:val="17"/>
                <w:rFonts w:hint="eastAsia" w:ascii="仿宋" w:hAnsi="仿宋" w:eastAsia="仿宋" w:cs="仿宋"/>
                <w:color w:val="auto"/>
                <w:sz w:val="24"/>
                <w:szCs w:val="24"/>
                <w:lang w:eastAsia="zh-CN"/>
              </w:rPr>
              <w:t>；</w:t>
            </w:r>
            <w:r>
              <w:rPr>
                <w:rFonts w:hint="eastAsia" w:ascii="仿宋" w:hAnsi="仿宋" w:eastAsia="仿宋" w:cs="仿宋"/>
                <w:sz w:val="24"/>
                <w:szCs w:val="24"/>
                <w:lang w:val="en-US" w:eastAsia="zh-CN"/>
              </w:rPr>
              <w:t>与湘电集团等联合申报2022年度国家重点研发计划“高性能制造技术与重大装备”重点专项“非道路车辆大功率电驱动传动系统关键技术”项目，配合签订省自然基金项目。</w:t>
            </w:r>
          </w:p>
          <w:p>
            <w:pPr>
              <w:keepNext w:val="0"/>
              <w:keepLines w:val="0"/>
              <w:pageBreakBefore w:val="0"/>
              <w:widowControl w:val="0"/>
              <w:tabs>
                <w:tab w:val="left" w:pos="441"/>
              </w:tabs>
              <w:kinsoku/>
              <w:wordWrap/>
              <w:overflowPunct/>
              <w:topLinePunct w:val="0"/>
              <w:autoSpaceDE/>
              <w:autoSpaceDN/>
              <w:bidi w:val="0"/>
              <w:adjustRightInd/>
              <w:snapToGrid w:val="0"/>
              <w:spacing w:line="360" w:lineRule="auto"/>
              <w:ind w:firstLine="480" w:firstLineChars="200"/>
              <w:jc w:val="left"/>
              <w:textAlignment w:val="auto"/>
              <w:outlineLvl w:val="9"/>
              <w:rPr>
                <w:rFonts w:hint="eastAsia" w:ascii="仿宋" w:hAnsi="仿宋" w:eastAsia="仿宋" w:cs="仿宋"/>
                <w:sz w:val="24"/>
                <w:szCs w:val="24"/>
                <w:lang w:eastAsia="zh-CN"/>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lang w:eastAsia="zh-CN"/>
              </w:rPr>
              <w:t>作为</w:t>
            </w:r>
            <w:r>
              <w:rPr>
                <w:rFonts w:hint="eastAsia" w:ascii="仿宋" w:hAnsi="仿宋" w:eastAsia="仿宋" w:cs="仿宋"/>
                <w:color w:val="auto"/>
                <w:sz w:val="24"/>
                <w:szCs w:val="24"/>
              </w:rPr>
              <w:t>湖南省工矿电传动车辆标准化技术委员会</w:t>
            </w:r>
            <w:r>
              <w:rPr>
                <w:rFonts w:hint="eastAsia" w:ascii="仿宋" w:hAnsi="仿宋" w:eastAsia="仿宋" w:cs="仿宋"/>
                <w:color w:val="auto"/>
                <w:sz w:val="24"/>
                <w:szCs w:val="24"/>
                <w:lang w:eastAsia="zh-CN"/>
              </w:rPr>
              <w:t>秘书处，</w:t>
            </w:r>
            <w:r>
              <w:rPr>
                <w:rFonts w:hint="eastAsia" w:ascii="仿宋" w:hAnsi="仿宋" w:eastAsia="仿宋" w:cs="仿宋"/>
                <w:color w:val="auto"/>
                <w:sz w:val="24"/>
                <w:szCs w:val="24"/>
              </w:rPr>
              <w:t>参与</w:t>
            </w:r>
            <w:r>
              <w:rPr>
                <w:rFonts w:hint="eastAsia" w:ascii="仿宋" w:hAnsi="仿宋" w:eastAsia="仿宋" w:cs="仿宋"/>
                <w:color w:val="auto"/>
                <w:sz w:val="24"/>
                <w:szCs w:val="24"/>
                <w:lang w:eastAsia="zh-CN"/>
              </w:rPr>
              <w:t>制修订</w:t>
            </w:r>
            <w:r>
              <w:rPr>
                <w:rFonts w:hint="eastAsia" w:ascii="仿宋" w:hAnsi="仿宋" w:eastAsia="仿宋" w:cs="仿宋"/>
                <w:color w:val="auto"/>
                <w:sz w:val="24"/>
                <w:szCs w:val="24"/>
              </w:rPr>
              <w:t>多个</w:t>
            </w:r>
            <w:r>
              <w:rPr>
                <w:rFonts w:hint="eastAsia" w:ascii="仿宋" w:hAnsi="仿宋" w:eastAsia="仿宋" w:cs="仿宋"/>
                <w:color w:val="auto"/>
                <w:sz w:val="24"/>
                <w:szCs w:val="24"/>
                <w:lang w:eastAsia="zh-CN"/>
              </w:rPr>
              <w:t>行业标准</w:t>
            </w:r>
            <w:r>
              <w:rPr>
                <w:rFonts w:hint="eastAsia" w:ascii="仿宋" w:hAnsi="仿宋" w:eastAsia="仿宋" w:cs="仿宋"/>
                <w:color w:val="auto"/>
                <w:sz w:val="24"/>
                <w:szCs w:val="24"/>
              </w:rPr>
              <w:t>、地方标准</w:t>
            </w:r>
            <w:r>
              <w:rPr>
                <w:rFonts w:hint="eastAsia" w:ascii="仿宋" w:hAnsi="仿宋" w:eastAsia="仿宋" w:cs="仿宋"/>
                <w:color w:val="auto"/>
                <w:sz w:val="24"/>
                <w:szCs w:val="24"/>
                <w:lang w:eastAsia="zh-CN"/>
              </w:rPr>
              <w:t>，组织完成换届选举工作，并联合市局标准化科筹建</w:t>
            </w:r>
            <w:r>
              <w:rPr>
                <w:rStyle w:val="17"/>
                <w:rFonts w:hint="eastAsia" w:ascii="仿宋" w:hAnsi="仿宋" w:eastAsia="仿宋" w:cs="仿宋"/>
                <w:color w:val="auto"/>
                <w:sz w:val="24"/>
                <w:szCs w:val="24"/>
                <w:lang w:val="en-US" w:eastAsia="zh-CN"/>
              </w:rPr>
              <w:t>湘潭市标准化协会;此外，还成功申报2个发明专利和3个</w:t>
            </w:r>
            <w:r>
              <w:rPr>
                <w:rFonts w:hint="eastAsia" w:ascii="仿宋" w:hAnsi="仿宋" w:eastAsia="仿宋" w:cs="仿宋"/>
                <w:color w:val="auto"/>
                <w:sz w:val="24"/>
                <w:szCs w:val="24"/>
                <w:lang w:val="en-US" w:eastAsia="zh-CN"/>
              </w:rPr>
              <w:t>实用新型专利，并</w:t>
            </w:r>
            <w:r>
              <w:rPr>
                <w:rFonts w:hint="eastAsia" w:ascii="仿宋" w:hAnsi="仿宋" w:eastAsia="仿宋" w:cs="仿宋"/>
                <w:color w:val="auto"/>
                <w:sz w:val="24"/>
                <w:szCs w:val="24"/>
              </w:rPr>
              <w:t>在中文核心期刊上发表</w:t>
            </w:r>
            <w:r>
              <w:rPr>
                <w:rFonts w:hint="eastAsia" w:ascii="仿宋" w:hAnsi="仿宋" w:eastAsia="仿宋" w:cs="仿宋"/>
                <w:color w:val="auto"/>
                <w:sz w:val="24"/>
                <w:szCs w:val="24"/>
                <w:lang w:eastAsia="zh-CN"/>
              </w:rPr>
              <w:t>多篇</w:t>
            </w:r>
            <w:r>
              <w:rPr>
                <w:rFonts w:hint="eastAsia" w:ascii="仿宋" w:hAnsi="仿宋" w:eastAsia="仿宋" w:cs="仿宋"/>
                <w:color w:val="auto"/>
                <w:sz w:val="24"/>
                <w:szCs w:val="24"/>
              </w:rPr>
              <w:t>论文。通过</w:t>
            </w:r>
            <w:r>
              <w:rPr>
                <w:rFonts w:hint="eastAsia" w:ascii="仿宋" w:hAnsi="仿宋" w:eastAsia="仿宋" w:cs="仿宋"/>
                <w:color w:val="auto"/>
                <w:sz w:val="24"/>
                <w:szCs w:val="24"/>
                <w:lang w:eastAsia="zh-CN"/>
              </w:rPr>
              <w:t>资质认定、能力验证、科研</w:t>
            </w:r>
            <w:r>
              <w:rPr>
                <w:rFonts w:hint="eastAsia" w:ascii="仿宋" w:hAnsi="仿宋" w:eastAsia="仿宋" w:cs="仿宋"/>
                <w:color w:val="auto"/>
                <w:sz w:val="24"/>
                <w:szCs w:val="24"/>
              </w:rPr>
              <w:t>项目申报</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标准制修订等，</w:t>
            </w:r>
            <w:r>
              <w:rPr>
                <w:rFonts w:hint="eastAsia" w:ascii="仿宋" w:hAnsi="仿宋" w:eastAsia="仿宋" w:cs="仿宋"/>
                <w:color w:val="auto"/>
                <w:sz w:val="24"/>
                <w:szCs w:val="24"/>
                <w:lang w:eastAsia="zh-CN"/>
              </w:rPr>
              <w:t>本</w:t>
            </w:r>
            <w:r>
              <w:rPr>
                <w:rFonts w:hint="eastAsia" w:ascii="仿宋" w:hAnsi="仿宋" w:eastAsia="仿宋" w:cs="仿宋"/>
                <w:color w:val="auto"/>
                <w:sz w:val="24"/>
                <w:szCs w:val="24"/>
              </w:rPr>
              <w:t>所（中心）整体技术水平、能力得到了大幅度提升。湖南省工业和信息化厅推荐我中心为第一批产业技术基础公共服务平台单位</w:t>
            </w:r>
            <w:r>
              <w:rPr>
                <w:rFonts w:hint="eastAsia" w:ascii="仿宋" w:hAnsi="仿宋" w:eastAsia="仿宋" w:cs="仿宋"/>
                <w:color w:val="auto"/>
                <w:sz w:val="24"/>
                <w:szCs w:val="24"/>
                <w:lang w:eastAsia="zh-CN"/>
              </w:rPr>
              <w:t>，现</w:t>
            </w:r>
            <w:r>
              <w:rPr>
                <w:rFonts w:hint="eastAsia" w:ascii="仿宋" w:hAnsi="仿宋" w:eastAsia="仿宋" w:cs="仿宋"/>
                <w:sz w:val="24"/>
                <w:szCs w:val="24"/>
                <w:lang w:val="en-US" w:eastAsia="zh-CN"/>
              </w:rPr>
              <w:t>已向</w:t>
            </w:r>
            <w:r>
              <w:rPr>
                <w:rFonts w:hint="eastAsia" w:ascii="仿宋" w:hAnsi="仿宋" w:eastAsia="仿宋" w:cs="仿宋"/>
                <w:sz w:val="24"/>
                <w:szCs w:val="24"/>
              </w:rPr>
              <w:t>国家工信部</w:t>
            </w:r>
            <w:r>
              <w:rPr>
                <w:rFonts w:hint="eastAsia" w:ascii="仿宋" w:hAnsi="仿宋" w:eastAsia="仿宋" w:cs="仿宋"/>
                <w:sz w:val="24"/>
                <w:szCs w:val="24"/>
                <w:lang w:val="en-US" w:eastAsia="zh-CN"/>
              </w:rPr>
              <w:t>申请</w:t>
            </w:r>
            <w:r>
              <w:rPr>
                <w:rFonts w:hint="eastAsia" w:ascii="仿宋" w:hAnsi="仿宋" w:eastAsia="仿宋" w:cs="仿宋"/>
                <w:sz w:val="24"/>
                <w:szCs w:val="24"/>
              </w:rPr>
              <w:t>“</w:t>
            </w:r>
            <w:r>
              <w:rPr>
                <w:rFonts w:hint="eastAsia" w:ascii="仿宋" w:hAnsi="仿宋" w:eastAsia="仿宋" w:cs="仿宋"/>
                <w:sz w:val="24"/>
                <w:szCs w:val="24"/>
                <w:lang w:val="en-US" w:eastAsia="zh-CN"/>
              </w:rPr>
              <w:t>国家</w:t>
            </w:r>
            <w:r>
              <w:rPr>
                <w:rFonts w:hint="eastAsia" w:ascii="仿宋" w:hAnsi="仿宋" w:eastAsia="仿宋" w:cs="仿宋"/>
                <w:sz w:val="24"/>
                <w:szCs w:val="24"/>
              </w:rPr>
              <w:t>产业技术基础公共服务平台”</w:t>
            </w:r>
            <w:r>
              <w:rPr>
                <w:rFonts w:hint="eastAsia" w:ascii="仿宋" w:hAnsi="仿宋" w:eastAsia="仿宋" w:cs="仿宋"/>
                <w:sz w:val="24"/>
                <w:szCs w:val="24"/>
                <w:lang w:eastAsia="zh-CN"/>
              </w:rPr>
              <w:t>。</w:t>
            </w:r>
          </w:p>
          <w:p>
            <w:pPr>
              <w:pStyle w:val="7"/>
              <w:shd w:val="clear" w:color="auto" w:fill="FFFFFF"/>
              <w:spacing w:before="0" w:beforeAutospacing="0" w:after="0" w:afterAutospacing="0" w:line="360" w:lineRule="auto"/>
              <w:ind w:firstLine="640"/>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8" w:hRule="atLeast"/>
          <w:jc w:val="center"/>
        </w:trPr>
        <w:tc>
          <w:tcPr>
            <w:tcW w:w="624" w:type="dxa"/>
            <w:vMerge w:val="restart"/>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存在的问题分析及改进措施</w:t>
            </w:r>
          </w:p>
        </w:tc>
        <w:tc>
          <w:tcPr>
            <w:tcW w:w="127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存在的问题</w:t>
            </w:r>
          </w:p>
        </w:tc>
        <w:tc>
          <w:tcPr>
            <w:tcW w:w="6917" w:type="dxa"/>
            <w:vAlign w:val="center"/>
          </w:tcPr>
          <w:p>
            <w:pPr>
              <w:spacing w:line="360" w:lineRule="auto"/>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因湘潭市工矿电传动车辆质量监督中心为公益二类，年初预算项目经费中包含</w:t>
            </w:r>
            <w:r>
              <w:rPr>
                <w:rFonts w:hint="eastAsia" w:ascii="仿宋" w:hAnsi="仿宋" w:eastAsia="仿宋" w:cs="仿宋"/>
                <w:sz w:val="24"/>
                <w:szCs w:val="24"/>
                <w:lang w:eastAsia="zh-CN"/>
              </w:rPr>
              <w:t>了</w:t>
            </w:r>
            <w:r>
              <w:rPr>
                <w:rFonts w:hint="eastAsia" w:ascii="仿宋" w:hAnsi="仿宋" w:eastAsia="仿宋" w:cs="仿宋"/>
                <w:sz w:val="24"/>
                <w:szCs w:val="24"/>
              </w:rPr>
              <w:t>部分人员经费。实际</w:t>
            </w:r>
            <w:r>
              <w:rPr>
                <w:rFonts w:hint="eastAsia" w:ascii="仿宋" w:hAnsi="仿宋" w:eastAsia="仿宋" w:cs="仿宋"/>
                <w:sz w:val="24"/>
                <w:szCs w:val="24"/>
                <w:lang w:eastAsia="zh-CN"/>
              </w:rPr>
              <w:t>核算中</w:t>
            </w:r>
            <w:r>
              <w:rPr>
                <w:rFonts w:hint="eastAsia" w:ascii="仿宋" w:hAnsi="仿宋" w:eastAsia="仿宋" w:cs="仿宋"/>
                <w:sz w:val="24"/>
                <w:szCs w:val="24"/>
              </w:rPr>
              <w:t>，人员</w:t>
            </w:r>
            <w:r>
              <w:rPr>
                <w:rFonts w:hint="eastAsia" w:ascii="仿宋" w:hAnsi="仿宋" w:eastAsia="仿宋" w:cs="仿宋"/>
                <w:sz w:val="24"/>
                <w:szCs w:val="24"/>
                <w:lang w:eastAsia="zh-CN"/>
              </w:rPr>
              <w:t>该部分人员经费均</w:t>
            </w:r>
            <w:r>
              <w:rPr>
                <w:rFonts w:hint="eastAsia" w:ascii="仿宋" w:hAnsi="仿宋" w:eastAsia="仿宋" w:cs="仿宋"/>
                <w:sz w:val="24"/>
                <w:szCs w:val="24"/>
              </w:rPr>
              <w:t>计入基本支出</w:t>
            </w:r>
            <w:r>
              <w:rPr>
                <w:rFonts w:hint="eastAsia" w:ascii="仿宋" w:hAnsi="仿宋" w:eastAsia="仿宋" w:cs="仿宋"/>
                <w:sz w:val="24"/>
                <w:szCs w:val="24"/>
                <w:lang w:eastAsia="zh-CN"/>
              </w:rPr>
              <w:t>，导致基本支出预算执行率过高。</w:t>
            </w:r>
          </w:p>
          <w:p>
            <w:pPr>
              <w:spacing w:line="360" w:lineRule="auto"/>
              <w:ind w:firstLine="480" w:firstLineChars="20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jc w:val="center"/>
        </w:trPr>
        <w:tc>
          <w:tcPr>
            <w:tcW w:w="624" w:type="dxa"/>
            <w:vMerge w:val="continue"/>
          </w:tcPr>
          <w:p>
            <w:pPr>
              <w:spacing w:line="360" w:lineRule="auto"/>
              <w:rPr>
                <w:rFonts w:hint="eastAsia" w:ascii="仿宋" w:hAnsi="仿宋" w:eastAsia="仿宋" w:cs="仿宋"/>
                <w:sz w:val="24"/>
                <w:szCs w:val="24"/>
              </w:rPr>
            </w:pPr>
          </w:p>
        </w:tc>
        <w:tc>
          <w:tcPr>
            <w:tcW w:w="127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改进</w:t>
            </w:r>
          </w:p>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措施</w:t>
            </w:r>
          </w:p>
        </w:tc>
        <w:tc>
          <w:tcPr>
            <w:tcW w:w="6917" w:type="dxa"/>
            <w:vAlign w:val="center"/>
          </w:tcPr>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1、科学合理编制预算，严格执行预算，提高资金使用效率。</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2、加快项目资金预算执行进度，减少专项资金结转</w:t>
            </w:r>
            <w:r>
              <w:rPr>
                <w:rFonts w:hint="eastAsia" w:ascii="仿宋" w:hAnsi="仿宋" w:eastAsia="仿宋" w:cs="仿宋"/>
                <w:sz w:val="24"/>
                <w:szCs w:val="24"/>
                <w:lang w:eastAsia="zh-CN"/>
              </w:rPr>
              <w:t>金额</w:t>
            </w:r>
            <w:r>
              <w:rPr>
                <w:rFonts w:hint="eastAsia" w:ascii="仿宋" w:hAnsi="仿宋" w:eastAsia="仿宋" w:cs="仿宋"/>
                <w:sz w:val="24"/>
                <w:szCs w:val="24"/>
              </w:rPr>
              <w:t>。</w:t>
            </w:r>
          </w:p>
          <w:p>
            <w:pPr>
              <w:spacing w:line="360" w:lineRule="auto"/>
              <w:ind w:firstLine="480" w:firstLineChars="200"/>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624" w:type="dxa"/>
            <w:vMerge w:val="continue"/>
          </w:tcPr>
          <w:p>
            <w:pPr>
              <w:spacing w:line="360" w:lineRule="auto"/>
              <w:rPr>
                <w:rFonts w:hint="eastAsia" w:ascii="仿宋" w:hAnsi="仿宋" w:eastAsia="仿宋" w:cs="仿宋"/>
                <w:sz w:val="24"/>
                <w:szCs w:val="24"/>
              </w:rPr>
            </w:pPr>
          </w:p>
        </w:tc>
        <w:tc>
          <w:tcPr>
            <w:tcW w:w="127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其他需要说明问题</w:t>
            </w:r>
          </w:p>
        </w:tc>
        <w:tc>
          <w:tcPr>
            <w:tcW w:w="6917" w:type="dxa"/>
            <w:vAlign w:val="center"/>
          </w:tcPr>
          <w:p>
            <w:pPr>
              <w:spacing w:line="360" w:lineRule="auto"/>
              <w:ind w:right="880" w:rightChars="419"/>
              <w:jc w:val="center"/>
              <w:rPr>
                <w:rFonts w:hint="eastAsia" w:ascii="仿宋" w:hAnsi="仿宋" w:eastAsia="仿宋" w:cs="仿宋"/>
                <w:sz w:val="24"/>
                <w:szCs w:val="24"/>
              </w:rPr>
            </w:pPr>
            <w:r>
              <w:rPr>
                <w:rFonts w:hint="eastAsia" w:ascii="仿宋" w:hAnsi="仿宋" w:eastAsia="仿宋" w:cs="仿宋"/>
                <w:sz w:val="24"/>
                <w:szCs w:val="24"/>
              </w:rPr>
              <w:t>无</w:t>
            </w:r>
          </w:p>
        </w:tc>
      </w:tr>
    </w:tbl>
    <w:p>
      <w:pPr>
        <w:spacing w:line="360" w:lineRule="auto"/>
        <w:rPr>
          <w:rFonts w:hint="eastAsia" w:ascii="仿宋" w:hAnsi="仿宋" w:eastAsia="仿宋" w:cs="仿宋"/>
          <w:sz w:val="24"/>
          <w:szCs w:val="24"/>
        </w:rPr>
      </w:pPr>
    </w:p>
    <w:p>
      <w:pPr>
        <w:pStyle w:val="2"/>
        <w:spacing w:line="600" w:lineRule="exact"/>
        <w:jc w:val="center"/>
        <w:rPr>
          <w:rFonts w:ascii="方正小标宋_GBK" w:hAnsi="Times New Roman" w:eastAsia="方正小标宋_GBK" w:cs="方正小标宋_GBK"/>
          <w:bCs/>
          <w:sz w:val="32"/>
          <w:szCs w:val="32"/>
        </w:rPr>
      </w:pPr>
      <w:r>
        <w:rPr>
          <w:rFonts w:hint="eastAsia" w:ascii="方正小标宋_GBK" w:hAnsi="Times New Roman" w:eastAsia="方正小标宋_GBK" w:cs="方正小标宋_GBK"/>
          <w:bCs/>
          <w:sz w:val="32"/>
          <w:szCs w:val="32"/>
        </w:rPr>
        <w:t>湘潭市产商品质量监督检验所</w:t>
      </w:r>
    </w:p>
    <w:p>
      <w:pPr>
        <w:widowControl/>
        <w:spacing w:line="480" w:lineRule="exact"/>
        <w:ind w:left="91"/>
        <w:jc w:val="center"/>
        <w:rPr>
          <w:rFonts w:ascii="方正小标宋_GBK" w:eastAsia="方正小标宋_GBK" w:cs="方正小标宋_GBK"/>
          <w:kern w:val="0"/>
          <w:sz w:val="32"/>
          <w:szCs w:val="32"/>
        </w:rPr>
      </w:pPr>
      <w:r>
        <w:rPr>
          <w:rFonts w:hint="eastAsia" w:ascii="方正小标宋_GBK" w:eastAsia="方正小标宋_GBK" w:cs="方正小标宋_GBK"/>
          <w:kern w:val="0"/>
          <w:sz w:val="32"/>
          <w:szCs w:val="32"/>
        </w:rPr>
        <w:t>202</w:t>
      </w:r>
      <w:r>
        <w:rPr>
          <w:rFonts w:hint="eastAsia" w:ascii="方正小标宋_GBK" w:eastAsia="方正小标宋_GBK" w:cs="方正小标宋_GBK"/>
          <w:kern w:val="0"/>
          <w:sz w:val="32"/>
          <w:szCs w:val="32"/>
          <w:lang w:val="en-US" w:eastAsia="zh-CN"/>
        </w:rPr>
        <w:t>2</w:t>
      </w:r>
      <w:r>
        <w:rPr>
          <w:rFonts w:hint="eastAsia" w:ascii="方正小标宋_GBK" w:eastAsia="方正小标宋_GBK" w:cs="方正小标宋_GBK"/>
          <w:kern w:val="0"/>
          <w:sz w:val="32"/>
          <w:szCs w:val="32"/>
        </w:rPr>
        <w:t>年部门整体支出绩效评价指标</w:t>
      </w:r>
    </w:p>
    <w:p>
      <w:pPr>
        <w:widowControl/>
        <w:spacing w:line="480" w:lineRule="exact"/>
        <w:ind w:left="91"/>
        <w:jc w:val="center"/>
        <w:rPr>
          <w:rFonts w:ascii="宋体" w:cs="宋体"/>
          <w:bCs/>
          <w:kern w:val="0"/>
          <w:sz w:val="32"/>
          <w:szCs w:val="32"/>
        </w:rPr>
      </w:pPr>
      <w:r>
        <w:rPr>
          <w:rFonts w:hint="eastAsia" w:ascii="方正小标宋_GBK" w:eastAsia="方正小标宋_GBK" w:cs="方正小标宋_GBK"/>
          <w:kern w:val="0"/>
          <w:sz w:val="32"/>
          <w:szCs w:val="32"/>
        </w:rPr>
        <w:t>完成情况表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09"/>
        <w:gridCol w:w="614"/>
        <w:gridCol w:w="889"/>
        <w:gridCol w:w="3265"/>
        <w:gridCol w:w="2278"/>
        <w:gridCol w:w="586"/>
        <w:gridCol w:w="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jc w:val="center"/>
        </w:trPr>
        <w:tc>
          <w:tcPr>
            <w:tcW w:w="675" w:type="dxa"/>
            <w:vAlign w:val="center"/>
          </w:tcPr>
          <w:p>
            <w:pPr>
              <w:widowControl/>
              <w:spacing w:line="320" w:lineRule="exact"/>
              <w:jc w:val="center"/>
              <w:rPr>
                <w:rFonts w:ascii="宋体" w:cs="宋体"/>
                <w:kern w:val="0"/>
                <w:szCs w:val="21"/>
              </w:rPr>
            </w:pPr>
            <w:r>
              <w:rPr>
                <w:rFonts w:hint="eastAsia" w:ascii="宋体" w:cs="宋体"/>
                <w:kern w:val="0"/>
                <w:szCs w:val="21"/>
              </w:rPr>
              <w:t>一级指标</w:t>
            </w:r>
          </w:p>
        </w:tc>
        <w:tc>
          <w:tcPr>
            <w:tcW w:w="709" w:type="dxa"/>
            <w:vAlign w:val="center"/>
          </w:tcPr>
          <w:p>
            <w:pPr>
              <w:widowControl/>
              <w:spacing w:line="320" w:lineRule="exact"/>
              <w:jc w:val="center"/>
              <w:rPr>
                <w:rFonts w:ascii="宋体" w:cs="宋体"/>
                <w:kern w:val="0"/>
                <w:szCs w:val="21"/>
              </w:rPr>
            </w:pPr>
            <w:r>
              <w:rPr>
                <w:rFonts w:hint="eastAsia" w:ascii="宋体" w:cs="宋体"/>
                <w:kern w:val="0"/>
                <w:szCs w:val="21"/>
              </w:rPr>
              <w:t>二级指标</w:t>
            </w:r>
          </w:p>
        </w:tc>
        <w:tc>
          <w:tcPr>
            <w:tcW w:w="614" w:type="dxa"/>
            <w:vAlign w:val="center"/>
          </w:tcPr>
          <w:p>
            <w:pPr>
              <w:widowControl/>
              <w:spacing w:line="320" w:lineRule="exact"/>
              <w:jc w:val="center"/>
              <w:rPr>
                <w:rFonts w:ascii="宋体" w:cs="宋体"/>
                <w:kern w:val="0"/>
                <w:szCs w:val="21"/>
              </w:rPr>
            </w:pPr>
            <w:r>
              <w:rPr>
                <w:rFonts w:hint="eastAsia" w:ascii="宋体" w:cs="宋体"/>
                <w:kern w:val="0"/>
                <w:szCs w:val="21"/>
              </w:rPr>
              <w:t>分值</w:t>
            </w:r>
          </w:p>
        </w:tc>
        <w:tc>
          <w:tcPr>
            <w:tcW w:w="889" w:type="dxa"/>
            <w:vAlign w:val="center"/>
          </w:tcPr>
          <w:p>
            <w:pPr>
              <w:widowControl/>
              <w:spacing w:line="320" w:lineRule="exact"/>
              <w:jc w:val="center"/>
              <w:rPr>
                <w:rFonts w:ascii="宋体" w:cs="宋体"/>
                <w:kern w:val="0"/>
                <w:szCs w:val="21"/>
              </w:rPr>
            </w:pPr>
            <w:r>
              <w:rPr>
                <w:rFonts w:hint="eastAsia" w:ascii="宋体" w:cs="宋体"/>
                <w:kern w:val="0"/>
                <w:szCs w:val="21"/>
              </w:rPr>
              <w:t>三级指标</w:t>
            </w:r>
          </w:p>
        </w:tc>
        <w:tc>
          <w:tcPr>
            <w:tcW w:w="3265" w:type="dxa"/>
            <w:vAlign w:val="center"/>
          </w:tcPr>
          <w:p>
            <w:pPr>
              <w:widowControl/>
              <w:spacing w:line="320" w:lineRule="exact"/>
              <w:jc w:val="center"/>
              <w:rPr>
                <w:rFonts w:ascii="宋体" w:cs="宋体"/>
                <w:kern w:val="0"/>
                <w:szCs w:val="21"/>
              </w:rPr>
            </w:pPr>
            <w:r>
              <w:rPr>
                <w:rFonts w:hint="eastAsia" w:ascii="宋体" w:cs="宋体"/>
                <w:kern w:val="0"/>
                <w:szCs w:val="21"/>
              </w:rPr>
              <w:t>指标完成情况</w:t>
            </w:r>
          </w:p>
        </w:tc>
        <w:tc>
          <w:tcPr>
            <w:tcW w:w="2278" w:type="dxa"/>
            <w:vAlign w:val="center"/>
          </w:tcPr>
          <w:p>
            <w:pPr>
              <w:widowControl/>
              <w:spacing w:line="320" w:lineRule="exact"/>
              <w:jc w:val="center"/>
              <w:rPr>
                <w:rFonts w:ascii="宋体" w:cs="宋体"/>
                <w:kern w:val="0"/>
                <w:szCs w:val="21"/>
              </w:rPr>
            </w:pPr>
            <w:r>
              <w:rPr>
                <w:rFonts w:hint="eastAsia" w:ascii="宋体" w:cs="宋体"/>
                <w:kern w:val="0"/>
                <w:szCs w:val="21"/>
              </w:rPr>
              <w:t>评价标准</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分值</w:t>
            </w:r>
          </w:p>
        </w:tc>
        <w:tc>
          <w:tcPr>
            <w:tcW w:w="476" w:type="dxa"/>
            <w:vAlign w:val="center"/>
          </w:tcPr>
          <w:p>
            <w:pPr>
              <w:widowControl/>
              <w:spacing w:line="320" w:lineRule="exact"/>
              <w:jc w:val="center"/>
              <w:rPr>
                <w:rFonts w:ascii="宋体" w:cs="宋体"/>
                <w:kern w:val="0"/>
                <w:szCs w:val="21"/>
              </w:rPr>
            </w:pPr>
            <w:r>
              <w:rPr>
                <w:rFonts w:hint="eastAsia" w:ascii="宋体" w:cs="宋体"/>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675" w:type="dxa"/>
            <w:vMerge w:val="restart"/>
            <w:textDirection w:val="tbRlV"/>
            <w:vAlign w:val="center"/>
          </w:tcPr>
          <w:p>
            <w:pPr>
              <w:widowControl/>
              <w:spacing w:line="320" w:lineRule="exact"/>
              <w:jc w:val="center"/>
              <w:rPr>
                <w:rFonts w:ascii="宋体" w:cs="宋体"/>
                <w:kern w:val="0"/>
                <w:szCs w:val="21"/>
              </w:rPr>
            </w:pPr>
            <w:r>
              <w:rPr>
                <w:rFonts w:hint="eastAsia" w:ascii="宋体" w:cs="宋体"/>
                <w:kern w:val="0"/>
                <w:szCs w:val="21"/>
              </w:rPr>
              <w:t>过    程</w:t>
            </w:r>
          </w:p>
        </w:tc>
        <w:tc>
          <w:tcPr>
            <w:tcW w:w="709" w:type="dxa"/>
            <w:vMerge w:val="restart"/>
            <w:vAlign w:val="center"/>
          </w:tcPr>
          <w:p>
            <w:pPr>
              <w:widowControl/>
              <w:spacing w:line="320" w:lineRule="exact"/>
              <w:jc w:val="center"/>
              <w:rPr>
                <w:rFonts w:ascii="宋体" w:cs="宋体"/>
                <w:kern w:val="0"/>
                <w:szCs w:val="21"/>
              </w:rPr>
            </w:pPr>
            <w:r>
              <w:rPr>
                <w:rFonts w:hint="eastAsia" w:ascii="宋体" w:cs="宋体"/>
                <w:kern w:val="0"/>
                <w:szCs w:val="21"/>
              </w:rPr>
              <w:t>预算执行</w:t>
            </w:r>
          </w:p>
        </w:tc>
        <w:tc>
          <w:tcPr>
            <w:tcW w:w="614" w:type="dxa"/>
            <w:vMerge w:val="restart"/>
            <w:vAlign w:val="center"/>
          </w:tcPr>
          <w:p>
            <w:pPr>
              <w:widowControl/>
              <w:spacing w:line="320" w:lineRule="exact"/>
              <w:jc w:val="center"/>
              <w:rPr>
                <w:rFonts w:ascii="宋体" w:cs="宋体"/>
                <w:kern w:val="0"/>
                <w:szCs w:val="21"/>
              </w:rPr>
            </w:pPr>
            <w:r>
              <w:rPr>
                <w:rFonts w:hint="eastAsia" w:ascii="宋体" w:cs="宋体"/>
                <w:kern w:val="0"/>
                <w:szCs w:val="21"/>
              </w:rPr>
              <w:t>30</w:t>
            </w:r>
          </w:p>
        </w:tc>
        <w:tc>
          <w:tcPr>
            <w:tcW w:w="889" w:type="dxa"/>
            <w:vAlign w:val="center"/>
          </w:tcPr>
          <w:p>
            <w:pPr>
              <w:widowControl/>
              <w:spacing w:line="320" w:lineRule="exact"/>
              <w:jc w:val="center"/>
              <w:rPr>
                <w:rFonts w:ascii="宋体" w:cs="宋体"/>
                <w:kern w:val="0"/>
                <w:szCs w:val="21"/>
              </w:rPr>
            </w:pPr>
            <w:r>
              <w:rPr>
                <w:rFonts w:hint="eastAsia" w:ascii="宋体" w:cs="宋体"/>
                <w:kern w:val="0"/>
                <w:szCs w:val="21"/>
              </w:rPr>
              <w:t>预算调整率</w:t>
            </w:r>
          </w:p>
        </w:tc>
        <w:tc>
          <w:tcPr>
            <w:tcW w:w="3265" w:type="dxa"/>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rPr>
              <w:t>预算调整率=（预算调整数/预算数）×100%</w:t>
            </w:r>
            <w:r>
              <w:rPr>
                <w:rFonts w:hint="eastAsia" w:ascii="宋体" w:cs="宋体"/>
                <w:kern w:val="0"/>
                <w:szCs w:val="21"/>
                <w:lang w:val="en-US" w:eastAsia="zh-CN"/>
              </w:rPr>
              <w:t>=0</w:t>
            </w:r>
          </w:p>
          <w:p>
            <w:pPr>
              <w:widowControl/>
              <w:spacing w:line="320" w:lineRule="exact"/>
              <w:jc w:val="left"/>
              <w:rPr>
                <w:rFonts w:ascii="宋体" w:cs="宋体"/>
                <w:kern w:val="0"/>
                <w:szCs w:val="21"/>
              </w:rPr>
            </w:pPr>
            <w:r>
              <w:rPr>
                <w:rFonts w:hint="eastAsia" w:ascii="宋体" w:cs="宋体"/>
                <w:kern w:val="0"/>
                <w:szCs w:val="21"/>
              </w:rPr>
              <w:t>预算调整数：部门（单位）在本年度内涉及预算的追加、追减或结构调整的资金总和（因落实国家政策，发生不可抗力、上级部门或本级党委政府临时交办而产生的调整除外）。</w:t>
            </w:r>
          </w:p>
        </w:tc>
        <w:tc>
          <w:tcPr>
            <w:tcW w:w="2278" w:type="dxa"/>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rPr>
              <w:t>预算调整率=0，计5分；0-10%（含），计4分；10-20%（含），计3分；20-30%（含），计2分；大于30%不得分。</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476" w:type="dxa"/>
            <w:vAlign w:val="center"/>
          </w:tcPr>
          <w:p>
            <w:pPr>
              <w:widowControl/>
              <w:spacing w:line="320" w:lineRule="exact"/>
              <w:jc w:val="center"/>
              <w:rPr>
                <w:rFonts w:ascii="宋体" w:cs="宋体"/>
                <w:kern w:val="0"/>
                <w:szCs w:val="21"/>
              </w:rPr>
            </w:pPr>
            <w:r>
              <w:rPr>
                <w:rFonts w:hint="eastAsia" w:ascii="宋体"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vAlign w:val="center"/>
          </w:tcPr>
          <w:p/>
        </w:tc>
        <w:tc>
          <w:tcPr>
            <w:tcW w:w="709" w:type="dxa"/>
            <w:vMerge w:val="continue"/>
            <w:vAlign w:val="center"/>
          </w:tcPr>
          <w:p/>
        </w:tc>
        <w:tc>
          <w:tcPr>
            <w:tcW w:w="614" w:type="dxa"/>
            <w:vMerge w:val="continue"/>
            <w:vAlign w:val="center"/>
          </w:tcPr>
          <w:p/>
        </w:tc>
        <w:tc>
          <w:tcPr>
            <w:tcW w:w="889" w:type="dxa"/>
            <w:vAlign w:val="center"/>
          </w:tcPr>
          <w:p>
            <w:pPr>
              <w:widowControl/>
              <w:spacing w:line="320" w:lineRule="exact"/>
              <w:jc w:val="center"/>
              <w:rPr>
                <w:rFonts w:ascii="宋体" w:cs="宋体"/>
                <w:kern w:val="0"/>
                <w:szCs w:val="21"/>
              </w:rPr>
            </w:pPr>
            <w:r>
              <w:rPr>
                <w:rFonts w:hint="eastAsia" w:ascii="宋体" w:cs="宋体"/>
                <w:kern w:val="0"/>
                <w:szCs w:val="21"/>
              </w:rPr>
              <w:t>基本支出预算控制率</w:t>
            </w:r>
          </w:p>
        </w:tc>
        <w:tc>
          <w:tcPr>
            <w:tcW w:w="3265" w:type="dxa"/>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rPr>
              <w:t>基本支出预算控制率=（基本支出实际支出/基本支出年度总预算）*100%</w:t>
            </w:r>
            <w:r>
              <w:rPr>
                <w:rFonts w:hint="eastAsia" w:ascii="宋体" w:cs="宋体"/>
                <w:kern w:val="0"/>
                <w:szCs w:val="21"/>
                <w:lang w:val="en-US" w:eastAsia="zh-CN"/>
              </w:rPr>
              <w:t>=112.81%</w:t>
            </w:r>
          </w:p>
        </w:tc>
        <w:tc>
          <w:tcPr>
            <w:tcW w:w="2278" w:type="dxa"/>
            <w:vAlign w:val="center"/>
          </w:tcPr>
          <w:p>
            <w:pPr>
              <w:widowControl/>
              <w:spacing w:line="320" w:lineRule="exact"/>
              <w:jc w:val="left"/>
              <w:rPr>
                <w:rFonts w:ascii="宋体" w:cs="宋体"/>
                <w:kern w:val="0"/>
                <w:szCs w:val="21"/>
              </w:rPr>
            </w:pPr>
            <w:r>
              <w:rPr>
                <w:rFonts w:hint="eastAsia" w:ascii="宋体" w:cs="宋体"/>
                <w:kern w:val="0"/>
                <w:szCs w:val="21"/>
              </w:rPr>
              <w:t>基本支出预算控制率≦100%，计5分；100-110%（含），计4分；110-120%（含），计3分；120-130%（含），计2分；大于130%不得分。</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476" w:type="dxa"/>
            <w:vAlign w:val="center"/>
          </w:tcPr>
          <w:p>
            <w:pPr>
              <w:widowControl/>
              <w:spacing w:line="320" w:lineRule="exact"/>
              <w:jc w:val="center"/>
              <w:rPr>
                <w:rFonts w:hint="eastAsia" w:ascii="宋体" w:eastAsia="宋体" w:cs="宋体"/>
                <w:kern w:val="0"/>
                <w:szCs w:val="21"/>
                <w:lang w:eastAsia="zh-CN"/>
              </w:rPr>
            </w:pPr>
            <w:r>
              <w:rPr>
                <w:rFonts w:hint="eastAsia" w:ascii="宋体" w:cs="宋体"/>
                <w:kern w:val="0"/>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675" w:type="dxa"/>
            <w:vMerge w:val="continue"/>
            <w:vAlign w:val="center"/>
          </w:tcPr>
          <w:p/>
        </w:tc>
        <w:tc>
          <w:tcPr>
            <w:tcW w:w="709" w:type="dxa"/>
            <w:vMerge w:val="continue"/>
            <w:vAlign w:val="center"/>
          </w:tcPr>
          <w:p/>
        </w:tc>
        <w:tc>
          <w:tcPr>
            <w:tcW w:w="614" w:type="dxa"/>
            <w:vMerge w:val="continue"/>
            <w:vAlign w:val="center"/>
          </w:tcPr>
          <w:p/>
        </w:tc>
        <w:tc>
          <w:tcPr>
            <w:tcW w:w="889" w:type="dxa"/>
            <w:vAlign w:val="center"/>
          </w:tcPr>
          <w:p>
            <w:pPr>
              <w:widowControl/>
              <w:spacing w:line="320" w:lineRule="exact"/>
              <w:jc w:val="center"/>
              <w:rPr>
                <w:rFonts w:ascii="宋体" w:cs="宋体"/>
                <w:kern w:val="0"/>
                <w:szCs w:val="21"/>
              </w:rPr>
            </w:pPr>
            <w:r>
              <w:rPr>
                <w:rFonts w:hint="eastAsia" w:ascii="宋体" w:cs="宋体"/>
                <w:kern w:val="0"/>
                <w:szCs w:val="21"/>
              </w:rPr>
              <w:t>项目支出预算控制率</w:t>
            </w:r>
          </w:p>
        </w:tc>
        <w:tc>
          <w:tcPr>
            <w:tcW w:w="3265" w:type="dxa"/>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rPr>
              <w:t>项目支出预算控制率=（项目支出实际支出/项目支出年度总预算）*100%</w:t>
            </w:r>
            <w:r>
              <w:rPr>
                <w:rFonts w:hint="eastAsia" w:ascii="宋体" w:cs="宋体"/>
                <w:kern w:val="0"/>
                <w:szCs w:val="21"/>
                <w:lang w:val="en-US" w:eastAsia="zh-CN"/>
              </w:rPr>
              <w:t>=92.7%</w:t>
            </w:r>
          </w:p>
        </w:tc>
        <w:tc>
          <w:tcPr>
            <w:tcW w:w="2278" w:type="dxa"/>
            <w:vAlign w:val="center"/>
          </w:tcPr>
          <w:p>
            <w:pPr>
              <w:widowControl/>
              <w:spacing w:line="320" w:lineRule="exact"/>
              <w:jc w:val="left"/>
              <w:rPr>
                <w:rFonts w:ascii="宋体" w:cs="宋体"/>
                <w:kern w:val="0"/>
                <w:szCs w:val="21"/>
              </w:rPr>
            </w:pPr>
            <w:r>
              <w:rPr>
                <w:rFonts w:hint="eastAsia" w:ascii="宋体" w:cs="宋体"/>
                <w:kern w:val="0"/>
                <w:szCs w:val="21"/>
              </w:rPr>
              <w:t>项目支出预算控制率≦100%，计5分；100-110%（含），计4分；110-120%（含），计3分；120-130%（含），计2分；大于130%不得分。</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476" w:type="dxa"/>
            <w:vAlign w:val="center"/>
          </w:tcPr>
          <w:p>
            <w:pPr>
              <w:widowControl/>
              <w:spacing w:line="320" w:lineRule="exact"/>
              <w:jc w:val="center"/>
              <w:rPr>
                <w:rFonts w:ascii="宋体" w:cs="宋体"/>
                <w:kern w:val="0"/>
                <w:szCs w:val="21"/>
              </w:rPr>
            </w:pPr>
            <w:r>
              <w:rPr>
                <w:rFonts w:hint="eastAsia" w:ascii="宋体"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75" w:type="dxa"/>
            <w:vMerge w:val="continue"/>
            <w:vAlign w:val="center"/>
          </w:tcPr>
          <w:p/>
        </w:tc>
        <w:tc>
          <w:tcPr>
            <w:tcW w:w="709" w:type="dxa"/>
            <w:vMerge w:val="continue"/>
            <w:vAlign w:val="center"/>
          </w:tcPr>
          <w:p/>
        </w:tc>
        <w:tc>
          <w:tcPr>
            <w:tcW w:w="614" w:type="dxa"/>
            <w:vMerge w:val="continue"/>
            <w:vAlign w:val="center"/>
          </w:tcPr>
          <w:p/>
        </w:tc>
        <w:tc>
          <w:tcPr>
            <w:tcW w:w="889" w:type="dxa"/>
            <w:vMerge w:val="restart"/>
            <w:vAlign w:val="center"/>
          </w:tcPr>
          <w:p>
            <w:pPr>
              <w:widowControl/>
              <w:spacing w:line="320" w:lineRule="exact"/>
              <w:jc w:val="center"/>
              <w:rPr>
                <w:rFonts w:ascii="宋体" w:cs="宋体"/>
                <w:kern w:val="0"/>
                <w:szCs w:val="21"/>
              </w:rPr>
            </w:pPr>
            <w:r>
              <w:rPr>
                <w:rFonts w:hint="eastAsia" w:ascii="宋体" w:cs="宋体"/>
                <w:kern w:val="0"/>
                <w:szCs w:val="21"/>
              </w:rPr>
              <w:t>资金结</w:t>
            </w:r>
            <w:r>
              <w:rPr>
                <w:rFonts w:hint="eastAsia" w:ascii="宋体" w:cs="宋体"/>
                <w:kern w:val="0"/>
                <w:szCs w:val="21"/>
                <w:lang w:eastAsia="zh-CN"/>
              </w:rPr>
              <w:t>转结</w:t>
            </w:r>
            <w:r>
              <w:rPr>
                <w:rFonts w:hint="eastAsia" w:ascii="宋体" w:cs="宋体"/>
                <w:kern w:val="0"/>
                <w:szCs w:val="21"/>
              </w:rPr>
              <w:t>余</w:t>
            </w:r>
          </w:p>
        </w:tc>
        <w:tc>
          <w:tcPr>
            <w:tcW w:w="3265" w:type="dxa"/>
            <w:vAlign w:val="center"/>
          </w:tcPr>
          <w:p>
            <w:pPr>
              <w:widowControl/>
              <w:spacing w:line="320" w:lineRule="exact"/>
              <w:jc w:val="left"/>
              <w:rPr>
                <w:rFonts w:hint="eastAsia" w:ascii="宋体" w:eastAsia="宋体" w:cs="宋体"/>
                <w:kern w:val="0"/>
                <w:szCs w:val="21"/>
                <w:lang w:val="en-US" w:eastAsia="zh-CN"/>
              </w:rPr>
            </w:pPr>
            <w:r>
              <w:rPr>
                <w:rFonts w:hint="eastAsia" w:ascii="宋体" w:cs="宋体"/>
                <w:kern w:val="0"/>
                <w:szCs w:val="21"/>
              </w:rPr>
              <w:t>　</w:t>
            </w:r>
            <w:r>
              <w:rPr>
                <w:rFonts w:hint="eastAsia" w:ascii="宋体" w:cs="宋体"/>
                <w:kern w:val="0"/>
                <w:szCs w:val="21"/>
                <w:lang w:val="en-US" w:eastAsia="zh-CN"/>
              </w:rPr>
              <w:t xml:space="preserve">  无</w:t>
            </w:r>
          </w:p>
        </w:tc>
        <w:tc>
          <w:tcPr>
            <w:tcW w:w="2278" w:type="dxa"/>
            <w:vAlign w:val="center"/>
          </w:tcPr>
          <w:p>
            <w:pPr>
              <w:widowControl/>
              <w:spacing w:line="320" w:lineRule="exact"/>
              <w:jc w:val="left"/>
              <w:rPr>
                <w:rFonts w:ascii="宋体" w:cs="宋体"/>
                <w:kern w:val="0"/>
                <w:szCs w:val="21"/>
              </w:rPr>
            </w:pPr>
            <w:r>
              <w:rPr>
                <w:rFonts w:hint="eastAsia" w:ascii="宋体" w:cs="宋体"/>
                <w:kern w:val="0"/>
                <w:szCs w:val="21"/>
              </w:rPr>
              <w:t>无结余，5分；有结余，但不超过上年结余，3分；结余超过上年结余，不得分。</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476" w:type="dxa"/>
            <w:vAlign w:val="center"/>
          </w:tcPr>
          <w:p>
            <w:pPr>
              <w:widowControl/>
              <w:spacing w:line="320" w:lineRule="exact"/>
              <w:jc w:val="center"/>
              <w:rPr>
                <w:rFonts w:hint="eastAsia" w:ascii="宋体" w:eastAsia="宋体" w:cs="宋体"/>
                <w:kern w:val="0"/>
                <w:szCs w:val="21"/>
                <w:lang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75" w:type="dxa"/>
            <w:vMerge w:val="continue"/>
            <w:vAlign w:val="center"/>
          </w:tcPr>
          <w:p/>
        </w:tc>
        <w:tc>
          <w:tcPr>
            <w:tcW w:w="709" w:type="dxa"/>
            <w:vMerge w:val="continue"/>
            <w:vAlign w:val="center"/>
          </w:tcPr>
          <w:p/>
        </w:tc>
        <w:tc>
          <w:tcPr>
            <w:tcW w:w="614" w:type="dxa"/>
            <w:vMerge w:val="continue"/>
            <w:vAlign w:val="center"/>
          </w:tcPr>
          <w:p/>
        </w:tc>
        <w:tc>
          <w:tcPr>
            <w:tcW w:w="889" w:type="dxa"/>
            <w:vMerge w:val="continue"/>
            <w:vAlign w:val="center"/>
          </w:tcPr>
          <w:p/>
        </w:tc>
        <w:tc>
          <w:tcPr>
            <w:tcW w:w="3265" w:type="dxa"/>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lang w:val="en-US" w:eastAsia="zh-CN"/>
              </w:rPr>
              <w:t xml:space="preserve">    是</w:t>
            </w:r>
          </w:p>
        </w:tc>
        <w:tc>
          <w:tcPr>
            <w:tcW w:w="2278" w:type="dxa"/>
            <w:vAlign w:val="center"/>
          </w:tcPr>
          <w:p>
            <w:pPr>
              <w:widowControl/>
              <w:spacing w:line="320" w:lineRule="exact"/>
              <w:jc w:val="left"/>
              <w:rPr>
                <w:rFonts w:ascii="宋体" w:cs="宋体"/>
                <w:kern w:val="0"/>
                <w:szCs w:val="21"/>
              </w:rPr>
            </w:pPr>
            <w:r>
              <w:rPr>
                <w:rFonts w:hint="eastAsia" w:ascii="宋体" w:cs="宋体"/>
                <w:kern w:val="0"/>
                <w:szCs w:val="21"/>
              </w:rPr>
              <w:t>是否分项目核算结余结转，是，5分；否，0分。</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476" w:type="dxa"/>
            <w:vAlign w:val="center"/>
          </w:tcPr>
          <w:p>
            <w:pPr>
              <w:widowControl/>
              <w:spacing w:line="320" w:lineRule="exact"/>
              <w:jc w:val="center"/>
              <w:rPr>
                <w:rFonts w:hint="eastAsia" w:ascii="宋体" w:eastAsia="宋体" w:cs="宋体"/>
                <w:kern w:val="0"/>
                <w:szCs w:val="21"/>
                <w:lang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675" w:type="dxa"/>
            <w:vMerge w:val="continue"/>
            <w:vAlign w:val="center"/>
          </w:tcPr>
          <w:p/>
        </w:tc>
        <w:tc>
          <w:tcPr>
            <w:tcW w:w="709" w:type="dxa"/>
            <w:vMerge w:val="continue"/>
            <w:vAlign w:val="center"/>
          </w:tcPr>
          <w:p/>
        </w:tc>
        <w:tc>
          <w:tcPr>
            <w:tcW w:w="614" w:type="dxa"/>
            <w:vMerge w:val="continue"/>
            <w:vAlign w:val="center"/>
          </w:tcPr>
          <w:p/>
        </w:tc>
        <w:tc>
          <w:tcPr>
            <w:tcW w:w="889" w:type="dxa"/>
            <w:vAlign w:val="center"/>
          </w:tcPr>
          <w:p>
            <w:pPr>
              <w:widowControl/>
              <w:spacing w:line="320" w:lineRule="exact"/>
              <w:jc w:val="center"/>
              <w:rPr>
                <w:rFonts w:ascii="宋体" w:cs="宋体"/>
                <w:kern w:val="0"/>
                <w:szCs w:val="21"/>
              </w:rPr>
            </w:pPr>
            <w:r>
              <w:rPr>
                <w:rFonts w:hint="eastAsia" w:ascii="宋体" w:cs="宋体"/>
                <w:kern w:val="0"/>
                <w:szCs w:val="21"/>
              </w:rPr>
              <w:t>“三公经费”控制率</w:t>
            </w:r>
          </w:p>
        </w:tc>
        <w:tc>
          <w:tcPr>
            <w:tcW w:w="3265" w:type="dxa"/>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rPr>
              <w:t>“三公经费”控制率=（“三公经费”实际支出数/“三公经费”预算安排数）×100%</w:t>
            </w:r>
            <w:r>
              <w:rPr>
                <w:rFonts w:hint="eastAsia" w:ascii="宋体" w:cs="宋体"/>
                <w:kern w:val="0"/>
                <w:szCs w:val="21"/>
                <w:lang w:val="en-US" w:eastAsia="zh-CN"/>
              </w:rPr>
              <w:t>=81.5%</w:t>
            </w:r>
          </w:p>
        </w:tc>
        <w:tc>
          <w:tcPr>
            <w:tcW w:w="2278" w:type="dxa"/>
            <w:vAlign w:val="center"/>
          </w:tcPr>
          <w:p>
            <w:pPr>
              <w:widowControl/>
              <w:spacing w:line="320" w:lineRule="exact"/>
              <w:jc w:val="left"/>
              <w:rPr>
                <w:rFonts w:ascii="宋体" w:cs="宋体"/>
                <w:kern w:val="0"/>
                <w:szCs w:val="21"/>
              </w:rPr>
            </w:pPr>
            <w:r>
              <w:rPr>
                <w:rFonts w:hint="eastAsia" w:ascii="宋体" w:cs="宋体"/>
                <w:kern w:val="0"/>
                <w:szCs w:val="21"/>
              </w:rPr>
              <w:t>以100%为标准。三公经费控制率≦100%，计5分；每超过一个百分点扣1分，扣完为止。</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476" w:type="dxa"/>
            <w:vAlign w:val="center"/>
          </w:tcPr>
          <w:p>
            <w:pPr>
              <w:widowControl/>
              <w:spacing w:line="320" w:lineRule="exact"/>
              <w:jc w:val="center"/>
              <w:rPr>
                <w:rFonts w:ascii="宋体" w:cs="宋体"/>
                <w:kern w:val="0"/>
                <w:szCs w:val="21"/>
              </w:rPr>
            </w:pPr>
            <w:r>
              <w:rPr>
                <w:rFonts w:hint="eastAsia" w:ascii="宋体"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675" w:type="dxa"/>
            <w:vMerge w:val="continue"/>
            <w:textDirection w:val="tbRlV"/>
            <w:vAlign w:val="center"/>
          </w:tcPr>
          <w:p/>
        </w:tc>
        <w:tc>
          <w:tcPr>
            <w:tcW w:w="709" w:type="dxa"/>
            <w:vMerge w:val="restart"/>
            <w:vAlign w:val="center"/>
          </w:tcPr>
          <w:p>
            <w:pPr>
              <w:widowControl/>
              <w:spacing w:line="320" w:lineRule="exact"/>
              <w:jc w:val="left"/>
              <w:rPr>
                <w:rFonts w:ascii="宋体" w:cs="宋体"/>
                <w:kern w:val="0"/>
                <w:szCs w:val="21"/>
              </w:rPr>
            </w:pPr>
            <w:r>
              <w:rPr>
                <w:rFonts w:hint="eastAsia" w:ascii="宋体" w:cs="宋体"/>
                <w:kern w:val="0"/>
                <w:szCs w:val="21"/>
              </w:rPr>
              <w:t>预算管理</w:t>
            </w:r>
          </w:p>
        </w:tc>
        <w:tc>
          <w:tcPr>
            <w:tcW w:w="614" w:type="dxa"/>
            <w:vMerge w:val="restart"/>
            <w:vAlign w:val="center"/>
          </w:tcPr>
          <w:p>
            <w:pPr>
              <w:widowControl/>
              <w:spacing w:line="320" w:lineRule="exact"/>
              <w:jc w:val="center"/>
              <w:rPr>
                <w:rFonts w:ascii="宋体" w:cs="宋体"/>
                <w:kern w:val="0"/>
                <w:szCs w:val="21"/>
              </w:rPr>
            </w:pPr>
            <w:r>
              <w:rPr>
                <w:rFonts w:hint="eastAsia" w:ascii="宋体" w:cs="宋体"/>
                <w:kern w:val="0"/>
                <w:szCs w:val="21"/>
              </w:rPr>
              <w:t>20</w:t>
            </w:r>
          </w:p>
        </w:tc>
        <w:tc>
          <w:tcPr>
            <w:tcW w:w="889" w:type="dxa"/>
            <w:vAlign w:val="center"/>
          </w:tcPr>
          <w:p>
            <w:pPr>
              <w:widowControl/>
              <w:spacing w:line="320" w:lineRule="exact"/>
              <w:jc w:val="center"/>
              <w:rPr>
                <w:rFonts w:ascii="宋体" w:cs="宋体"/>
                <w:kern w:val="0"/>
                <w:szCs w:val="21"/>
              </w:rPr>
            </w:pPr>
            <w:r>
              <w:rPr>
                <w:rFonts w:hint="eastAsia" w:ascii="宋体" w:cs="宋体"/>
                <w:kern w:val="0"/>
                <w:szCs w:val="21"/>
              </w:rPr>
              <w:t>管理制度健全性</w:t>
            </w:r>
          </w:p>
        </w:tc>
        <w:tc>
          <w:tcPr>
            <w:tcW w:w="3265" w:type="dxa"/>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rPr>
              <w:t>　</w:t>
            </w:r>
            <w:r>
              <w:rPr>
                <w:rFonts w:hint="eastAsia" w:ascii="宋体" w:cs="宋体"/>
                <w:kern w:val="0"/>
                <w:szCs w:val="21"/>
                <w:lang w:val="en-US" w:eastAsia="zh-CN"/>
              </w:rPr>
              <w:t xml:space="preserve">        已健全</w:t>
            </w:r>
          </w:p>
        </w:tc>
        <w:tc>
          <w:tcPr>
            <w:tcW w:w="2278" w:type="dxa"/>
            <w:vAlign w:val="center"/>
          </w:tcPr>
          <w:p>
            <w:pPr>
              <w:widowControl/>
              <w:spacing w:line="320" w:lineRule="exact"/>
              <w:jc w:val="left"/>
              <w:rPr>
                <w:rFonts w:ascii="宋体" w:cs="宋体"/>
                <w:kern w:val="0"/>
                <w:szCs w:val="21"/>
              </w:rPr>
            </w:pPr>
            <w:r>
              <w:rPr>
                <w:rFonts w:hint="eastAsia" w:ascii="宋体" w:cs="宋体"/>
                <w:kern w:val="0"/>
                <w:szCs w:val="21"/>
              </w:rPr>
              <w:t>①已制定或具有预算资金管理办法，内部财务管理制度、会计核算制度等管理制度，3分；②相关管理制度合法、合规、完整，2分。</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476" w:type="dxa"/>
            <w:vAlign w:val="center"/>
          </w:tcPr>
          <w:p>
            <w:pPr>
              <w:widowControl/>
              <w:spacing w:line="320" w:lineRule="exact"/>
              <w:jc w:val="center"/>
              <w:rPr>
                <w:rFonts w:ascii="宋体" w:cs="宋体"/>
                <w:kern w:val="0"/>
                <w:szCs w:val="21"/>
              </w:rPr>
            </w:pPr>
            <w:r>
              <w:rPr>
                <w:rFonts w:hint="eastAsia" w:ascii="宋体"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75" w:type="dxa"/>
            <w:vMerge w:val="continue"/>
            <w:vAlign w:val="center"/>
          </w:tcPr>
          <w:p/>
        </w:tc>
        <w:tc>
          <w:tcPr>
            <w:tcW w:w="709" w:type="dxa"/>
            <w:vMerge w:val="continue"/>
            <w:vAlign w:val="center"/>
          </w:tcPr>
          <w:p/>
        </w:tc>
        <w:tc>
          <w:tcPr>
            <w:tcW w:w="614" w:type="dxa"/>
            <w:vMerge w:val="continue"/>
            <w:vAlign w:val="center"/>
          </w:tcPr>
          <w:p/>
        </w:tc>
        <w:tc>
          <w:tcPr>
            <w:tcW w:w="889" w:type="dxa"/>
            <w:vAlign w:val="center"/>
          </w:tcPr>
          <w:p>
            <w:pPr>
              <w:widowControl/>
              <w:spacing w:line="320" w:lineRule="exact"/>
              <w:jc w:val="center"/>
              <w:rPr>
                <w:rFonts w:ascii="宋体" w:cs="宋体"/>
                <w:kern w:val="0"/>
                <w:szCs w:val="21"/>
              </w:rPr>
            </w:pPr>
            <w:r>
              <w:rPr>
                <w:rFonts w:hint="eastAsia" w:ascii="宋体" w:cs="宋体"/>
                <w:kern w:val="0"/>
                <w:szCs w:val="21"/>
              </w:rPr>
              <w:t>专账核算</w:t>
            </w:r>
          </w:p>
        </w:tc>
        <w:tc>
          <w:tcPr>
            <w:tcW w:w="3265" w:type="dxa"/>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lang w:val="en-US" w:eastAsia="zh-CN"/>
              </w:rPr>
              <w:t xml:space="preserve">           是</w:t>
            </w:r>
          </w:p>
        </w:tc>
        <w:tc>
          <w:tcPr>
            <w:tcW w:w="2278" w:type="dxa"/>
            <w:vAlign w:val="center"/>
          </w:tcPr>
          <w:p>
            <w:pPr>
              <w:widowControl/>
              <w:spacing w:line="320" w:lineRule="exact"/>
              <w:jc w:val="left"/>
              <w:rPr>
                <w:rFonts w:ascii="宋体" w:cs="宋体"/>
                <w:kern w:val="0"/>
                <w:szCs w:val="21"/>
              </w:rPr>
            </w:pPr>
            <w:r>
              <w:rPr>
                <w:rFonts w:hint="eastAsia" w:ascii="宋体" w:cs="宋体"/>
                <w:kern w:val="0"/>
                <w:szCs w:val="21"/>
              </w:rPr>
              <w:t>项目支出是否分项目单独核算，是5；否，0分。</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476" w:type="dxa"/>
            <w:vAlign w:val="center"/>
          </w:tcPr>
          <w:p>
            <w:pPr>
              <w:widowControl/>
              <w:spacing w:line="320" w:lineRule="exact"/>
              <w:jc w:val="center"/>
              <w:rPr>
                <w:rFonts w:ascii="宋体" w:cs="宋体"/>
                <w:kern w:val="0"/>
                <w:szCs w:val="21"/>
              </w:rPr>
            </w:pPr>
            <w:r>
              <w:rPr>
                <w:rFonts w:hint="eastAsia" w:ascii="宋体"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675" w:type="dxa"/>
            <w:vMerge w:val="continue"/>
            <w:vAlign w:val="center"/>
          </w:tcPr>
          <w:p/>
        </w:tc>
        <w:tc>
          <w:tcPr>
            <w:tcW w:w="709" w:type="dxa"/>
            <w:vMerge w:val="continue"/>
            <w:vAlign w:val="center"/>
          </w:tcPr>
          <w:p/>
        </w:tc>
        <w:tc>
          <w:tcPr>
            <w:tcW w:w="614" w:type="dxa"/>
            <w:vMerge w:val="continue"/>
            <w:vAlign w:val="center"/>
          </w:tcPr>
          <w:p/>
        </w:tc>
        <w:tc>
          <w:tcPr>
            <w:tcW w:w="889" w:type="dxa"/>
            <w:vAlign w:val="center"/>
          </w:tcPr>
          <w:p>
            <w:pPr>
              <w:widowControl/>
              <w:spacing w:line="320" w:lineRule="exact"/>
              <w:jc w:val="center"/>
              <w:rPr>
                <w:rFonts w:ascii="宋体" w:cs="宋体"/>
                <w:kern w:val="0"/>
                <w:szCs w:val="21"/>
              </w:rPr>
            </w:pPr>
            <w:r>
              <w:rPr>
                <w:rFonts w:hint="eastAsia" w:ascii="宋体" w:cs="宋体"/>
                <w:kern w:val="0"/>
                <w:szCs w:val="21"/>
              </w:rPr>
              <w:t>预决算信息公开性和完善性</w:t>
            </w:r>
          </w:p>
        </w:tc>
        <w:tc>
          <w:tcPr>
            <w:tcW w:w="3265" w:type="dxa"/>
            <w:vAlign w:val="center"/>
          </w:tcPr>
          <w:p>
            <w:pPr>
              <w:widowControl/>
              <w:spacing w:line="320" w:lineRule="exact"/>
              <w:jc w:val="left"/>
              <w:rPr>
                <w:rFonts w:ascii="宋体" w:cs="宋体"/>
                <w:kern w:val="0"/>
                <w:szCs w:val="21"/>
              </w:rPr>
            </w:pPr>
            <w:r>
              <w:rPr>
                <w:rFonts w:hint="eastAsia" w:ascii="宋体" w:cs="宋体"/>
                <w:kern w:val="0"/>
                <w:szCs w:val="21"/>
              </w:rPr>
              <w:t xml:space="preserve">预决算信息是指与部门预算、执行、决算、监督、绩效等管理相关的信息。                                            </w:t>
            </w:r>
          </w:p>
        </w:tc>
        <w:tc>
          <w:tcPr>
            <w:tcW w:w="2278" w:type="dxa"/>
            <w:vAlign w:val="center"/>
          </w:tcPr>
          <w:p>
            <w:pPr>
              <w:widowControl/>
              <w:spacing w:line="320" w:lineRule="exact"/>
              <w:jc w:val="left"/>
              <w:rPr>
                <w:rFonts w:ascii="宋体" w:cs="宋体"/>
                <w:kern w:val="0"/>
                <w:szCs w:val="21"/>
              </w:rPr>
            </w:pPr>
            <w:r>
              <w:rPr>
                <w:rFonts w:hint="eastAsia" w:ascii="宋体" w:cs="宋体"/>
                <w:kern w:val="0"/>
                <w:szCs w:val="21"/>
              </w:rPr>
              <w:t xml:space="preserve">①按规定内容公开预决算信息，3分；②按规定时限公开预决算信息，2分。                                            </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476" w:type="dxa"/>
            <w:vAlign w:val="center"/>
          </w:tcPr>
          <w:p>
            <w:pPr>
              <w:widowControl/>
              <w:spacing w:line="320" w:lineRule="exact"/>
              <w:jc w:val="center"/>
              <w:rPr>
                <w:rFonts w:ascii="宋体" w:cs="宋体"/>
                <w:kern w:val="0"/>
                <w:szCs w:val="21"/>
              </w:rPr>
            </w:pPr>
            <w:r>
              <w:rPr>
                <w:rFonts w:hint="eastAsia" w:ascii="宋体"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675" w:type="dxa"/>
            <w:vMerge w:val="continue"/>
            <w:vAlign w:val="center"/>
          </w:tcPr>
          <w:p/>
        </w:tc>
        <w:tc>
          <w:tcPr>
            <w:tcW w:w="709" w:type="dxa"/>
            <w:vMerge w:val="continue"/>
            <w:vAlign w:val="center"/>
          </w:tcPr>
          <w:p/>
        </w:tc>
        <w:tc>
          <w:tcPr>
            <w:tcW w:w="614" w:type="dxa"/>
            <w:vMerge w:val="continue"/>
            <w:vAlign w:val="center"/>
          </w:tcPr>
          <w:p/>
        </w:tc>
        <w:tc>
          <w:tcPr>
            <w:tcW w:w="889" w:type="dxa"/>
            <w:vAlign w:val="center"/>
          </w:tcPr>
          <w:p>
            <w:pPr>
              <w:widowControl/>
              <w:spacing w:line="320" w:lineRule="exact"/>
              <w:jc w:val="center"/>
              <w:rPr>
                <w:rFonts w:ascii="宋体" w:cs="宋体"/>
                <w:kern w:val="0"/>
                <w:szCs w:val="21"/>
              </w:rPr>
            </w:pPr>
            <w:r>
              <w:rPr>
                <w:rFonts w:hint="eastAsia" w:ascii="宋体" w:cs="宋体"/>
                <w:kern w:val="0"/>
                <w:szCs w:val="21"/>
              </w:rPr>
              <w:t>政府采购完成情况</w:t>
            </w:r>
          </w:p>
        </w:tc>
        <w:tc>
          <w:tcPr>
            <w:tcW w:w="3265" w:type="dxa"/>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lang w:val="en-US" w:eastAsia="zh-CN"/>
              </w:rPr>
              <w:t xml:space="preserve">          是</w:t>
            </w:r>
          </w:p>
        </w:tc>
        <w:tc>
          <w:tcPr>
            <w:tcW w:w="2278" w:type="dxa"/>
            <w:vAlign w:val="center"/>
          </w:tcPr>
          <w:p>
            <w:pPr>
              <w:widowControl/>
              <w:spacing w:line="320" w:lineRule="exact"/>
              <w:jc w:val="left"/>
              <w:rPr>
                <w:rFonts w:ascii="宋体" w:cs="宋体"/>
                <w:kern w:val="0"/>
                <w:szCs w:val="21"/>
              </w:rPr>
            </w:pPr>
            <w:r>
              <w:rPr>
                <w:rFonts w:hint="eastAsia" w:ascii="宋体" w:cs="宋体"/>
                <w:kern w:val="0"/>
                <w:szCs w:val="21"/>
              </w:rPr>
              <w:t>达到政府采购要求的是否进行了政府采购，是，5分；否，0分。</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476" w:type="dxa"/>
            <w:vAlign w:val="center"/>
          </w:tcPr>
          <w:p>
            <w:pPr>
              <w:widowControl/>
              <w:spacing w:line="320" w:lineRule="exact"/>
              <w:jc w:val="center"/>
              <w:rPr>
                <w:rFonts w:ascii="宋体" w:cs="宋体"/>
                <w:kern w:val="0"/>
                <w:szCs w:val="21"/>
              </w:rPr>
            </w:pPr>
            <w:r>
              <w:rPr>
                <w:rFonts w:hint="eastAsia" w:ascii="宋体" w:cs="宋体"/>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jc w:val="center"/>
        </w:trPr>
        <w:tc>
          <w:tcPr>
            <w:tcW w:w="675" w:type="dxa"/>
            <w:vMerge w:val="continue"/>
            <w:vAlign w:val="center"/>
          </w:tcPr>
          <w:p/>
        </w:tc>
        <w:tc>
          <w:tcPr>
            <w:tcW w:w="709" w:type="dxa"/>
            <w:vAlign w:val="center"/>
          </w:tcPr>
          <w:p>
            <w:pPr>
              <w:widowControl/>
              <w:spacing w:line="320" w:lineRule="exact"/>
              <w:jc w:val="center"/>
              <w:rPr>
                <w:rFonts w:ascii="宋体" w:cs="宋体"/>
                <w:kern w:val="0"/>
                <w:szCs w:val="21"/>
              </w:rPr>
            </w:pPr>
            <w:r>
              <w:rPr>
                <w:rFonts w:hint="eastAsia" w:ascii="宋体" w:cs="宋体"/>
                <w:kern w:val="0"/>
                <w:szCs w:val="21"/>
              </w:rPr>
              <w:t>资产管理</w:t>
            </w:r>
          </w:p>
        </w:tc>
        <w:tc>
          <w:tcPr>
            <w:tcW w:w="614"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889" w:type="dxa"/>
            <w:vAlign w:val="center"/>
          </w:tcPr>
          <w:p>
            <w:pPr>
              <w:widowControl/>
              <w:spacing w:line="320" w:lineRule="exact"/>
              <w:jc w:val="center"/>
              <w:rPr>
                <w:rFonts w:ascii="宋体" w:cs="宋体"/>
                <w:kern w:val="0"/>
                <w:szCs w:val="21"/>
              </w:rPr>
            </w:pPr>
            <w:r>
              <w:rPr>
                <w:rFonts w:hint="eastAsia" w:ascii="宋体" w:cs="宋体"/>
                <w:kern w:val="0"/>
                <w:szCs w:val="21"/>
              </w:rPr>
              <w:t>管理制度健全性</w:t>
            </w:r>
          </w:p>
        </w:tc>
        <w:tc>
          <w:tcPr>
            <w:tcW w:w="3265" w:type="dxa"/>
            <w:vAlign w:val="center"/>
          </w:tcPr>
          <w:p>
            <w:pPr>
              <w:widowControl/>
              <w:spacing w:line="320" w:lineRule="exact"/>
              <w:jc w:val="left"/>
              <w:rPr>
                <w:rFonts w:ascii="宋体" w:cs="宋体"/>
                <w:kern w:val="0"/>
                <w:szCs w:val="21"/>
              </w:rPr>
            </w:pPr>
            <w:r>
              <w:rPr>
                <w:rFonts w:hint="eastAsia" w:ascii="宋体" w:cs="宋体"/>
                <w:kern w:val="0"/>
                <w:szCs w:val="21"/>
              </w:rPr>
              <w:t>部门（单位）为加强资产管理，规范资产管理行为而制定的管理制度是否健全完整、用以反映                                                                                                                                                                                                                                                                                                                                                                                                                                                                                                                                                                               和考核部门（单位）资产管理制度对完成主要职责或促进社会发展的保障情况。</w:t>
            </w:r>
          </w:p>
        </w:tc>
        <w:tc>
          <w:tcPr>
            <w:tcW w:w="2278" w:type="dxa"/>
            <w:vAlign w:val="center"/>
          </w:tcPr>
          <w:p>
            <w:pPr>
              <w:widowControl/>
              <w:spacing w:line="320" w:lineRule="exact"/>
              <w:jc w:val="left"/>
              <w:rPr>
                <w:rFonts w:ascii="宋体" w:cs="宋体"/>
                <w:kern w:val="0"/>
                <w:szCs w:val="21"/>
              </w:rPr>
            </w:pPr>
            <w:r>
              <w:rPr>
                <w:rFonts w:hint="eastAsia" w:ascii="宋体" w:cs="宋体"/>
                <w:kern w:val="0"/>
                <w:szCs w:val="21"/>
              </w:rPr>
              <w:t xml:space="preserve">①已制定或具有资产管理制度，3分；②相关资产管理制度合法、合规、完整，2分；。                                           </w:t>
            </w:r>
          </w:p>
        </w:tc>
        <w:tc>
          <w:tcPr>
            <w:tcW w:w="586" w:type="dxa"/>
            <w:vAlign w:val="center"/>
          </w:tcPr>
          <w:p>
            <w:pPr>
              <w:widowControl/>
              <w:spacing w:line="320" w:lineRule="exact"/>
              <w:jc w:val="center"/>
              <w:rPr>
                <w:rFonts w:ascii="宋体" w:cs="宋体"/>
                <w:kern w:val="0"/>
                <w:szCs w:val="21"/>
              </w:rPr>
            </w:pPr>
            <w:r>
              <w:rPr>
                <w:rFonts w:hint="eastAsia" w:ascii="宋体" w:cs="宋体"/>
                <w:kern w:val="0"/>
                <w:szCs w:val="21"/>
              </w:rPr>
              <w:t>5</w:t>
            </w:r>
          </w:p>
        </w:tc>
        <w:tc>
          <w:tcPr>
            <w:tcW w:w="476" w:type="dxa"/>
            <w:vAlign w:val="center"/>
          </w:tcPr>
          <w:p>
            <w:pPr>
              <w:widowControl/>
              <w:spacing w:line="320" w:lineRule="exact"/>
              <w:rPr>
                <w:rFonts w:hint="default" w:ascii="宋体" w:eastAsia="宋体" w:cs="宋体"/>
                <w:kern w:val="0"/>
                <w:szCs w:val="21"/>
                <w:lang w:val="en-US" w:eastAsia="zh-CN"/>
              </w:rPr>
            </w:pPr>
            <w:r>
              <w:rPr>
                <w:rFonts w:hint="eastAsia" w:ascii="宋体" w:cs="宋体"/>
                <w:kern w:val="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675" w:type="dxa"/>
            <w:vMerge w:val="restart"/>
            <w:textDirection w:val="tbRlV"/>
            <w:vAlign w:val="center"/>
          </w:tcPr>
          <w:p>
            <w:pPr>
              <w:widowControl/>
              <w:spacing w:line="320" w:lineRule="exact"/>
              <w:jc w:val="center"/>
              <w:rPr>
                <w:rFonts w:ascii="宋体" w:cs="宋体"/>
                <w:kern w:val="0"/>
                <w:szCs w:val="21"/>
              </w:rPr>
            </w:pPr>
            <w:r>
              <w:rPr>
                <w:rFonts w:hint="eastAsia" w:ascii="宋体" w:cs="宋体"/>
                <w:kern w:val="0"/>
                <w:szCs w:val="21"/>
              </w:rPr>
              <w:t>产   出</w:t>
            </w:r>
          </w:p>
          <w:p>
            <w:pPr>
              <w:spacing w:line="320" w:lineRule="exact"/>
              <w:jc w:val="center"/>
              <w:rPr>
                <w:rFonts w:ascii="宋体" w:cs="宋体"/>
                <w:kern w:val="0"/>
                <w:szCs w:val="21"/>
              </w:rPr>
            </w:pPr>
            <w:r>
              <w:rPr>
                <w:rFonts w:hint="eastAsia" w:ascii="宋体" w:cs="宋体"/>
                <w:kern w:val="0"/>
                <w:szCs w:val="21"/>
              </w:rPr>
              <w:t>效   果</w:t>
            </w:r>
          </w:p>
        </w:tc>
        <w:tc>
          <w:tcPr>
            <w:tcW w:w="709" w:type="dxa"/>
            <w:vAlign w:val="center"/>
          </w:tcPr>
          <w:p>
            <w:pPr>
              <w:widowControl/>
              <w:spacing w:line="320" w:lineRule="exact"/>
              <w:jc w:val="center"/>
              <w:rPr>
                <w:rFonts w:ascii="宋体" w:cs="宋体"/>
                <w:kern w:val="0"/>
                <w:szCs w:val="21"/>
              </w:rPr>
            </w:pPr>
            <w:r>
              <w:rPr>
                <w:rFonts w:hint="eastAsia" w:ascii="宋体" w:cs="宋体"/>
                <w:kern w:val="0"/>
                <w:szCs w:val="21"/>
              </w:rPr>
              <w:t>职责 履行</w:t>
            </w:r>
          </w:p>
        </w:tc>
        <w:tc>
          <w:tcPr>
            <w:tcW w:w="614" w:type="dxa"/>
            <w:vMerge w:val="restart"/>
            <w:vAlign w:val="center"/>
          </w:tcPr>
          <w:p>
            <w:pPr>
              <w:widowControl/>
              <w:spacing w:line="320" w:lineRule="exact"/>
              <w:jc w:val="center"/>
              <w:rPr>
                <w:rFonts w:ascii="宋体" w:cs="宋体"/>
                <w:kern w:val="0"/>
                <w:szCs w:val="21"/>
              </w:rPr>
            </w:pPr>
            <w:r>
              <w:rPr>
                <w:rFonts w:hint="eastAsia" w:ascii="宋体" w:cs="宋体"/>
                <w:kern w:val="0"/>
                <w:szCs w:val="21"/>
              </w:rPr>
              <w:t>45</w:t>
            </w:r>
          </w:p>
        </w:tc>
        <w:tc>
          <w:tcPr>
            <w:tcW w:w="889" w:type="dxa"/>
            <w:vMerge w:val="restart"/>
            <w:vAlign w:val="center"/>
          </w:tcPr>
          <w:p>
            <w:pPr>
              <w:widowControl/>
              <w:spacing w:line="320" w:lineRule="exact"/>
              <w:jc w:val="center"/>
              <w:rPr>
                <w:rFonts w:ascii="宋体" w:cs="宋体"/>
                <w:kern w:val="0"/>
                <w:szCs w:val="21"/>
              </w:rPr>
            </w:pPr>
            <w:r>
              <w:rPr>
                <w:rFonts w:hint="eastAsia" w:ascii="宋体" w:cs="宋体"/>
                <w:kern w:val="0"/>
                <w:szCs w:val="21"/>
              </w:rPr>
              <w:t>绩效目标完成情况</w:t>
            </w:r>
          </w:p>
        </w:tc>
        <w:tc>
          <w:tcPr>
            <w:tcW w:w="3265" w:type="dxa"/>
            <w:vMerge w:val="restart"/>
            <w:vAlign w:val="center"/>
          </w:tcPr>
          <w:p>
            <w:pPr>
              <w:widowControl/>
              <w:spacing w:line="320" w:lineRule="exact"/>
              <w:jc w:val="left"/>
              <w:rPr>
                <w:rFonts w:ascii="宋体" w:cs="宋体"/>
                <w:kern w:val="0"/>
                <w:szCs w:val="21"/>
              </w:rPr>
            </w:pPr>
            <w:r>
              <w:rPr>
                <w:rFonts w:hint="eastAsia" w:ascii="宋体" w:cs="宋体"/>
                <w:kern w:val="0"/>
                <w:szCs w:val="21"/>
              </w:rPr>
              <w:t>部门（单位）根据</w:t>
            </w:r>
            <w:r>
              <w:rPr>
                <w:rFonts w:ascii="宋体" w:cs="宋体"/>
                <w:kern w:val="0"/>
                <w:szCs w:val="21"/>
              </w:rPr>
              <w:t>202</w:t>
            </w:r>
            <w:r>
              <w:rPr>
                <w:rFonts w:hint="eastAsia" w:ascii="宋体" w:cs="宋体"/>
                <w:kern w:val="0"/>
                <w:szCs w:val="21"/>
                <w:lang w:val="en-US" w:eastAsia="zh-CN"/>
              </w:rPr>
              <w:t>2</w:t>
            </w:r>
            <w:r>
              <w:rPr>
                <w:rFonts w:hint="eastAsia" w:ascii="宋体" w:cs="宋体"/>
                <w:kern w:val="0"/>
                <w:szCs w:val="21"/>
              </w:rPr>
              <w:t>年部门整体支出绩效目标申报表提炼部门整体支出绩效评价指标。</w:t>
            </w:r>
          </w:p>
          <w:p>
            <w:pPr>
              <w:widowControl/>
              <w:spacing w:line="320" w:lineRule="exact"/>
              <w:jc w:val="left"/>
              <w:rPr>
                <w:rFonts w:ascii="宋体" w:cs="宋体"/>
                <w:kern w:val="0"/>
                <w:szCs w:val="21"/>
              </w:rPr>
            </w:pPr>
          </w:p>
        </w:tc>
        <w:tc>
          <w:tcPr>
            <w:tcW w:w="2278" w:type="dxa"/>
            <w:vMerge w:val="restart"/>
            <w:vAlign w:val="center"/>
          </w:tcPr>
          <w:p>
            <w:pPr>
              <w:widowControl/>
              <w:spacing w:line="320" w:lineRule="exact"/>
              <w:jc w:val="left"/>
              <w:rPr>
                <w:rFonts w:hint="default" w:ascii="宋体" w:eastAsia="宋体" w:cs="宋体"/>
                <w:kern w:val="0"/>
                <w:szCs w:val="21"/>
                <w:lang w:val="en-US" w:eastAsia="zh-CN"/>
              </w:rPr>
            </w:pPr>
            <w:r>
              <w:rPr>
                <w:rFonts w:hint="eastAsia" w:ascii="宋体" w:cs="宋体"/>
                <w:kern w:val="0"/>
                <w:szCs w:val="21"/>
                <w:lang w:val="en-US" w:eastAsia="zh-CN"/>
              </w:rPr>
              <w:t xml:space="preserve">      全部完成</w:t>
            </w:r>
          </w:p>
        </w:tc>
        <w:tc>
          <w:tcPr>
            <w:tcW w:w="586" w:type="dxa"/>
            <w:vMerge w:val="restart"/>
            <w:vAlign w:val="center"/>
          </w:tcPr>
          <w:p>
            <w:pPr>
              <w:widowControl/>
              <w:spacing w:line="320" w:lineRule="exact"/>
              <w:jc w:val="center"/>
              <w:rPr>
                <w:rFonts w:ascii="宋体" w:cs="宋体"/>
                <w:kern w:val="0"/>
                <w:szCs w:val="21"/>
              </w:rPr>
            </w:pPr>
            <w:r>
              <w:rPr>
                <w:rFonts w:hint="eastAsia" w:ascii="宋体" w:cs="宋体"/>
                <w:kern w:val="0"/>
                <w:szCs w:val="21"/>
              </w:rPr>
              <w:t>45</w:t>
            </w:r>
          </w:p>
        </w:tc>
        <w:tc>
          <w:tcPr>
            <w:tcW w:w="476" w:type="dxa"/>
            <w:vMerge w:val="restart"/>
            <w:vAlign w:val="center"/>
          </w:tcPr>
          <w:p>
            <w:pPr>
              <w:widowControl/>
              <w:spacing w:line="320" w:lineRule="exact"/>
              <w:jc w:val="center"/>
              <w:rPr>
                <w:rFonts w:ascii="宋体" w:cs="宋体"/>
                <w:kern w:val="0"/>
                <w:szCs w:val="21"/>
              </w:rPr>
            </w:pPr>
            <w:r>
              <w:rPr>
                <w:rFonts w:hint="eastAsia" w:ascii="宋体" w:cs="宋体"/>
                <w:kern w:val="0"/>
                <w:szCs w:val="21"/>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675" w:type="dxa"/>
            <w:vMerge w:val="continue"/>
            <w:textDirection w:val="tbRlV"/>
            <w:vAlign w:val="center"/>
          </w:tcPr>
          <w:p/>
        </w:tc>
        <w:tc>
          <w:tcPr>
            <w:tcW w:w="709" w:type="dxa"/>
            <w:vAlign w:val="center"/>
          </w:tcPr>
          <w:p>
            <w:pPr>
              <w:widowControl/>
              <w:spacing w:line="320" w:lineRule="exact"/>
              <w:jc w:val="center"/>
              <w:rPr>
                <w:rFonts w:ascii="宋体" w:cs="宋体"/>
                <w:kern w:val="0"/>
                <w:szCs w:val="21"/>
              </w:rPr>
            </w:pPr>
            <w:r>
              <w:rPr>
                <w:rFonts w:hint="eastAsia" w:ascii="宋体" w:cs="宋体"/>
                <w:kern w:val="0"/>
                <w:szCs w:val="21"/>
              </w:rPr>
              <w:t>履职 效益</w:t>
            </w:r>
          </w:p>
        </w:tc>
        <w:tc>
          <w:tcPr>
            <w:tcW w:w="614" w:type="dxa"/>
            <w:vMerge w:val="continue"/>
            <w:vAlign w:val="center"/>
          </w:tcPr>
          <w:p/>
        </w:tc>
        <w:tc>
          <w:tcPr>
            <w:tcW w:w="889" w:type="dxa"/>
            <w:vMerge w:val="continue"/>
            <w:vAlign w:val="center"/>
          </w:tcPr>
          <w:p/>
        </w:tc>
        <w:tc>
          <w:tcPr>
            <w:tcW w:w="3265" w:type="dxa"/>
            <w:vMerge w:val="continue"/>
            <w:vAlign w:val="center"/>
          </w:tcPr>
          <w:p/>
        </w:tc>
        <w:tc>
          <w:tcPr>
            <w:tcW w:w="2278" w:type="dxa"/>
            <w:vMerge w:val="continue"/>
            <w:vAlign w:val="center"/>
          </w:tcPr>
          <w:p/>
        </w:tc>
        <w:tc>
          <w:tcPr>
            <w:tcW w:w="586" w:type="dxa"/>
            <w:vMerge w:val="continue"/>
            <w:vAlign w:val="center"/>
          </w:tcPr>
          <w:p/>
        </w:tc>
        <w:tc>
          <w:tcPr>
            <w:tcW w:w="476"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675" w:type="dxa"/>
            <w:textDirection w:val="tbRlV"/>
            <w:vAlign w:val="center"/>
          </w:tcPr>
          <w:p>
            <w:pPr>
              <w:widowControl/>
              <w:spacing w:line="320" w:lineRule="exact"/>
              <w:jc w:val="center"/>
              <w:rPr>
                <w:rFonts w:ascii="宋体" w:cs="宋体"/>
                <w:kern w:val="0"/>
                <w:szCs w:val="21"/>
              </w:rPr>
            </w:pPr>
            <w:r>
              <w:rPr>
                <w:rFonts w:hint="eastAsia" w:ascii="宋体" w:cs="宋体"/>
                <w:kern w:val="0"/>
                <w:szCs w:val="21"/>
              </w:rPr>
              <w:t>合计</w:t>
            </w:r>
          </w:p>
        </w:tc>
        <w:tc>
          <w:tcPr>
            <w:tcW w:w="709" w:type="dxa"/>
            <w:vAlign w:val="center"/>
          </w:tcPr>
          <w:p>
            <w:pPr>
              <w:widowControl/>
              <w:spacing w:line="320" w:lineRule="exact"/>
              <w:jc w:val="center"/>
              <w:rPr>
                <w:rFonts w:ascii="宋体" w:cs="宋体"/>
                <w:kern w:val="0"/>
                <w:szCs w:val="21"/>
              </w:rPr>
            </w:pPr>
          </w:p>
        </w:tc>
        <w:tc>
          <w:tcPr>
            <w:tcW w:w="614" w:type="dxa"/>
            <w:vAlign w:val="center"/>
          </w:tcPr>
          <w:p>
            <w:pPr>
              <w:widowControl/>
              <w:spacing w:line="320" w:lineRule="exact"/>
              <w:jc w:val="center"/>
              <w:rPr>
                <w:rFonts w:ascii="宋体" w:cs="宋体"/>
                <w:kern w:val="0"/>
                <w:szCs w:val="21"/>
              </w:rPr>
            </w:pPr>
            <w:r>
              <w:rPr>
                <w:rFonts w:hint="eastAsia" w:ascii="宋体" w:cs="宋体"/>
                <w:kern w:val="0"/>
                <w:szCs w:val="21"/>
              </w:rPr>
              <w:t>100</w:t>
            </w:r>
          </w:p>
        </w:tc>
        <w:tc>
          <w:tcPr>
            <w:tcW w:w="889" w:type="dxa"/>
            <w:vAlign w:val="center"/>
          </w:tcPr>
          <w:p>
            <w:pPr>
              <w:widowControl/>
              <w:spacing w:line="320" w:lineRule="exact"/>
              <w:jc w:val="center"/>
              <w:rPr>
                <w:rFonts w:ascii="宋体" w:cs="宋体"/>
                <w:kern w:val="0"/>
                <w:szCs w:val="21"/>
              </w:rPr>
            </w:pPr>
          </w:p>
        </w:tc>
        <w:tc>
          <w:tcPr>
            <w:tcW w:w="3265" w:type="dxa"/>
            <w:vAlign w:val="center"/>
          </w:tcPr>
          <w:p>
            <w:pPr>
              <w:widowControl/>
              <w:spacing w:line="240" w:lineRule="exact"/>
              <w:jc w:val="left"/>
              <w:rPr>
                <w:rFonts w:ascii="宋体" w:cs="宋体"/>
                <w:kern w:val="0"/>
                <w:szCs w:val="21"/>
              </w:rPr>
            </w:pPr>
          </w:p>
        </w:tc>
        <w:tc>
          <w:tcPr>
            <w:tcW w:w="2278" w:type="dxa"/>
            <w:vAlign w:val="center"/>
          </w:tcPr>
          <w:p>
            <w:pPr>
              <w:widowControl/>
              <w:spacing w:line="240" w:lineRule="exact"/>
              <w:jc w:val="left"/>
              <w:rPr>
                <w:rFonts w:ascii="宋体" w:cs="宋体"/>
                <w:kern w:val="0"/>
                <w:szCs w:val="21"/>
              </w:rPr>
            </w:pPr>
          </w:p>
        </w:tc>
        <w:tc>
          <w:tcPr>
            <w:tcW w:w="586" w:type="dxa"/>
            <w:vAlign w:val="center"/>
          </w:tcPr>
          <w:p>
            <w:pPr>
              <w:widowControl/>
              <w:spacing w:line="240" w:lineRule="exact"/>
              <w:jc w:val="center"/>
              <w:rPr>
                <w:rFonts w:ascii="宋体" w:cs="宋体"/>
                <w:kern w:val="0"/>
                <w:szCs w:val="21"/>
              </w:rPr>
            </w:pPr>
            <w:r>
              <w:rPr>
                <w:rFonts w:hint="eastAsia" w:ascii="宋体" w:cs="宋体"/>
                <w:kern w:val="0"/>
                <w:szCs w:val="21"/>
              </w:rPr>
              <w:t>100</w:t>
            </w:r>
          </w:p>
        </w:tc>
        <w:tc>
          <w:tcPr>
            <w:tcW w:w="476" w:type="dxa"/>
            <w:vAlign w:val="center"/>
          </w:tcPr>
          <w:p>
            <w:pPr>
              <w:widowControl/>
              <w:spacing w:line="240" w:lineRule="exact"/>
              <w:jc w:val="center"/>
              <w:rPr>
                <w:rFonts w:hint="eastAsia" w:ascii="宋体" w:eastAsia="宋体" w:cs="宋体"/>
                <w:kern w:val="0"/>
                <w:szCs w:val="21"/>
                <w:lang w:eastAsia="zh-CN"/>
              </w:rPr>
            </w:pPr>
            <w:r>
              <w:rPr>
                <w:rFonts w:hint="eastAsia" w:ascii="宋体" w:cs="宋体"/>
                <w:kern w:val="0"/>
                <w:szCs w:val="21"/>
              </w:rPr>
              <w:t>9</w:t>
            </w:r>
            <w:r>
              <w:rPr>
                <w:rFonts w:hint="eastAsia" w:ascii="宋体" w:cs="宋体"/>
                <w:kern w:val="0"/>
                <w:szCs w:val="21"/>
                <w:lang w:val="en-US" w:eastAsia="zh-CN"/>
              </w:rPr>
              <w:t>8</w:t>
            </w:r>
          </w:p>
        </w:tc>
      </w:tr>
    </w:tbl>
    <w:p>
      <w:pPr>
        <w:snapToGrid w:val="0"/>
        <w:spacing w:line="540" w:lineRule="exact"/>
        <w:rPr>
          <w:rFonts w:ascii="宋体" w:cs="宋体"/>
          <w:kern w:val="0"/>
          <w:sz w:val="32"/>
          <w:szCs w:val="32"/>
        </w:rPr>
      </w:pPr>
    </w:p>
    <w:p>
      <w:pPr>
        <w:snapToGrid w:val="0"/>
        <w:spacing w:line="540" w:lineRule="exact"/>
        <w:rPr>
          <w:rFonts w:ascii="宋体" w:cs="宋体"/>
          <w:kern w:val="0"/>
          <w:sz w:val="32"/>
          <w:szCs w:val="32"/>
        </w:rPr>
      </w:pPr>
    </w:p>
    <w:p/>
    <w:p>
      <w:pPr>
        <w:pStyle w:val="2"/>
        <w:rPr>
          <w:rFonts w:hint="eastAsia"/>
        </w:rPr>
      </w:pPr>
    </w:p>
    <w:sectPr>
      <w:footerReference r:id="rId3" w:type="default"/>
      <w:pgSz w:w="11906" w:h="16838"/>
      <w:pgMar w:top="1327" w:right="1800" w:bottom="1327"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607121"/>
      <w:docPartObj>
        <w:docPartGallery w:val="autotext"/>
      </w:docPartObj>
    </w:sdtPr>
    <w:sdtContent>
      <w:p>
        <w:pPr>
          <w:pStyle w:val="5"/>
          <w:jc w:val="cente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w:t>
        </w:r>
        <w:r>
          <w:rPr>
            <w:sz w:val="28"/>
            <w:szCs w:val="28"/>
          </w:rPr>
          <w:t xml:space="preserve"> 1 -</w:t>
        </w:r>
        <w:r>
          <w:rPr>
            <w:sz w:val="28"/>
            <w:szCs w:val="28"/>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RiZDNjOGRmNjc4YmZkNjg0YmY3ZjQ2OThmYTU4MzMifQ=="/>
  </w:docVars>
  <w:rsids>
    <w:rsidRoot w:val="00574244"/>
    <w:rsid w:val="00041263"/>
    <w:rsid w:val="000A44E3"/>
    <w:rsid w:val="000D4598"/>
    <w:rsid w:val="000F09BD"/>
    <w:rsid w:val="00113C77"/>
    <w:rsid w:val="00181651"/>
    <w:rsid w:val="0019194F"/>
    <w:rsid w:val="001F1808"/>
    <w:rsid w:val="001F3047"/>
    <w:rsid w:val="001F53F5"/>
    <w:rsid w:val="001F58B6"/>
    <w:rsid w:val="00231E08"/>
    <w:rsid w:val="002475E2"/>
    <w:rsid w:val="00264A69"/>
    <w:rsid w:val="002728F7"/>
    <w:rsid w:val="002B1BE8"/>
    <w:rsid w:val="002B38F7"/>
    <w:rsid w:val="00331524"/>
    <w:rsid w:val="00333496"/>
    <w:rsid w:val="00335CCA"/>
    <w:rsid w:val="00337C49"/>
    <w:rsid w:val="00356871"/>
    <w:rsid w:val="00384CE8"/>
    <w:rsid w:val="00387484"/>
    <w:rsid w:val="003C06A7"/>
    <w:rsid w:val="003D7800"/>
    <w:rsid w:val="003E6025"/>
    <w:rsid w:val="00460F82"/>
    <w:rsid w:val="004816E0"/>
    <w:rsid w:val="004A1F34"/>
    <w:rsid w:val="004E0C43"/>
    <w:rsid w:val="004E133C"/>
    <w:rsid w:val="004F4EAF"/>
    <w:rsid w:val="004F754C"/>
    <w:rsid w:val="0056055A"/>
    <w:rsid w:val="00574244"/>
    <w:rsid w:val="005D5ECC"/>
    <w:rsid w:val="0064461F"/>
    <w:rsid w:val="006854D3"/>
    <w:rsid w:val="00701C77"/>
    <w:rsid w:val="007102DC"/>
    <w:rsid w:val="00772C94"/>
    <w:rsid w:val="007C28AE"/>
    <w:rsid w:val="007D0B74"/>
    <w:rsid w:val="00812DA0"/>
    <w:rsid w:val="00846F96"/>
    <w:rsid w:val="008744FF"/>
    <w:rsid w:val="008A423A"/>
    <w:rsid w:val="008D62A1"/>
    <w:rsid w:val="008E0BE4"/>
    <w:rsid w:val="008F7122"/>
    <w:rsid w:val="009304A9"/>
    <w:rsid w:val="00961657"/>
    <w:rsid w:val="009F1B32"/>
    <w:rsid w:val="00B47D55"/>
    <w:rsid w:val="00B714C7"/>
    <w:rsid w:val="00B73D4D"/>
    <w:rsid w:val="00B96CD1"/>
    <w:rsid w:val="00C244E4"/>
    <w:rsid w:val="00C37719"/>
    <w:rsid w:val="00CB5F5D"/>
    <w:rsid w:val="00CB78BA"/>
    <w:rsid w:val="00CE6500"/>
    <w:rsid w:val="00D032D7"/>
    <w:rsid w:val="00D246AD"/>
    <w:rsid w:val="00D276C7"/>
    <w:rsid w:val="00D33B98"/>
    <w:rsid w:val="00D65D25"/>
    <w:rsid w:val="00D81F33"/>
    <w:rsid w:val="00E84CC3"/>
    <w:rsid w:val="00F666E7"/>
    <w:rsid w:val="034E2A54"/>
    <w:rsid w:val="035644BB"/>
    <w:rsid w:val="05B42F17"/>
    <w:rsid w:val="0B51492D"/>
    <w:rsid w:val="0BC62CE6"/>
    <w:rsid w:val="0E0D1650"/>
    <w:rsid w:val="1CB71F70"/>
    <w:rsid w:val="1DBA2DC7"/>
    <w:rsid w:val="208C0DAC"/>
    <w:rsid w:val="20CE712B"/>
    <w:rsid w:val="22557E77"/>
    <w:rsid w:val="258C1362"/>
    <w:rsid w:val="26987D47"/>
    <w:rsid w:val="27345D06"/>
    <w:rsid w:val="286D1FB1"/>
    <w:rsid w:val="2B86672A"/>
    <w:rsid w:val="2CCB09C2"/>
    <w:rsid w:val="2FC66097"/>
    <w:rsid w:val="307539B4"/>
    <w:rsid w:val="32BF3B8D"/>
    <w:rsid w:val="340305DE"/>
    <w:rsid w:val="342253EC"/>
    <w:rsid w:val="37296A11"/>
    <w:rsid w:val="391F49A7"/>
    <w:rsid w:val="3A44735A"/>
    <w:rsid w:val="4628593D"/>
    <w:rsid w:val="482F6D23"/>
    <w:rsid w:val="49787983"/>
    <w:rsid w:val="55737163"/>
    <w:rsid w:val="566F2AE8"/>
    <w:rsid w:val="57526618"/>
    <w:rsid w:val="57FE2EBF"/>
    <w:rsid w:val="5ACA0E33"/>
    <w:rsid w:val="5C0D64C8"/>
    <w:rsid w:val="5C531AC4"/>
    <w:rsid w:val="5E46567D"/>
    <w:rsid w:val="5F010179"/>
    <w:rsid w:val="60511F5B"/>
    <w:rsid w:val="606F61C6"/>
    <w:rsid w:val="63224C5A"/>
    <w:rsid w:val="63927568"/>
    <w:rsid w:val="64A05CB5"/>
    <w:rsid w:val="687B63DC"/>
    <w:rsid w:val="6BB12556"/>
    <w:rsid w:val="709B2013"/>
    <w:rsid w:val="73152C4B"/>
    <w:rsid w:val="73C66EB8"/>
    <w:rsid w:val="746D1B44"/>
    <w:rsid w:val="75163068"/>
    <w:rsid w:val="7EDB7B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Plain Text"/>
    <w:basedOn w:val="1"/>
    <w:next w:val="1"/>
    <w:link w:val="10"/>
    <w:unhideWhenUsed/>
    <w:qFormat/>
    <w:uiPriority w:val="0"/>
    <w:rPr>
      <w:rFonts w:ascii="宋体" w:hAnsi="Courier New" w:cs="Courier New"/>
      <w:sz w:val="32"/>
      <w:szCs w:val="21"/>
    </w:rPr>
  </w:style>
  <w:style w:type="paragraph" w:styleId="3">
    <w:name w:val="Body Text Indent 2"/>
    <w:basedOn w:val="1"/>
    <w:link w:val="11"/>
    <w:unhideWhenUsed/>
    <w:qFormat/>
    <w:uiPriority w:val="0"/>
    <w:pPr>
      <w:spacing w:before="312" w:beforeLines="100"/>
      <w:ind w:firstLine="560" w:firstLineChars="200"/>
    </w:pPr>
    <w:rPr>
      <w:sz w:val="28"/>
      <w:szCs w:val="20"/>
    </w:r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10">
    <w:name w:val="纯文本 字符"/>
    <w:basedOn w:val="9"/>
    <w:link w:val="2"/>
    <w:qFormat/>
    <w:uiPriority w:val="0"/>
    <w:rPr>
      <w:rFonts w:ascii="宋体" w:hAnsi="Courier New" w:eastAsia="宋体" w:cs="Courier New"/>
      <w:sz w:val="32"/>
      <w:szCs w:val="21"/>
    </w:rPr>
  </w:style>
  <w:style w:type="character" w:customStyle="1" w:styleId="11">
    <w:name w:val="正文文本缩进 2 字符"/>
    <w:basedOn w:val="9"/>
    <w:link w:val="3"/>
    <w:qFormat/>
    <w:uiPriority w:val="99"/>
    <w:rPr>
      <w:rFonts w:ascii="Times New Roman" w:hAnsi="Times New Roman" w:eastAsia="宋体" w:cs="Times New Roman"/>
      <w:sz w:val="28"/>
      <w:szCs w:val="20"/>
    </w:rPr>
  </w:style>
  <w:style w:type="character" w:customStyle="1" w:styleId="12">
    <w:name w:val="页眉 字符"/>
    <w:basedOn w:val="9"/>
    <w:link w:val="6"/>
    <w:qFormat/>
    <w:uiPriority w:val="99"/>
    <w:rPr>
      <w:rFonts w:ascii="Times New Roman" w:hAnsi="Times New Roman" w:eastAsia="宋体" w:cs="Times New Roman"/>
      <w:sz w:val="18"/>
      <w:szCs w:val="18"/>
    </w:rPr>
  </w:style>
  <w:style w:type="character" w:customStyle="1" w:styleId="13">
    <w:name w:val="页脚 字符"/>
    <w:basedOn w:val="9"/>
    <w:link w:val="5"/>
    <w:qFormat/>
    <w:uiPriority w:val="99"/>
    <w:rPr>
      <w:rFonts w:ascii="Times New Roman" w:hAnsi="Times New Roman" w:eastAsia="宋体" w:cs="Times New Roman"/>
      <w:sz w:val="18"/>
      <w:szCs w:val="18"/>
    </w:rPr>
  </w:style>
  <w:style w:type="character" w:customStyle="1" w:styleId="14">
    <w:name w:val="批注框文本 字符"/>
    <w:basedOn w:val="9"/>
    <w:link w:val="4"/>
    <w:semiHidden/>
    <w:qFormat/>
    <w:uiPriority w:val="99"/>
    <w:rPr>
      <w:rFonts w:ascii="Times New Roman" w:hAnsi="Times New Roman" w:eastAsia="宋体" w:cs="Times New Roman"/>
      <w:sz w:val="18"/>
      <w:szCs w:val="18"/>
    </w:rPr>
  </w:style>
  <w:style w:type="paragraph" w:styleId="15">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16">
    <w:name w:val="BodyTextIndent2"/>
    <w:basedOn w:val="1"/>
    <w:qFormat/>
    <w:uiPriority w:val="0"/>
    <w:pPr>
      <w:spacing w:before="312"/>
      <w:ind w:firstLine="560" w:firstLineChars="200"/>
    </w:pPr>
    <w:rPr>
      <w:sz w:val="28"/>
      <w:szCs w:val="20"/>
    </w:rPr>
  </w:style>
  <w:style w:type="character" w:customStyle="1" w:styleId="17">
    <w:name w:val="NormalCharacter"/>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6</Pages>
  <Words>3854</Words>
  <Characters>4124</Characters>
  <Lines>30</Lines>
  <Paragraphs>8</Paragraphs>
  <TotalTime>0</TotalTime>
  <ScaleCrop>false</ScaleCrop>
  <LinksUpToDate>false</LinksUpToDate>
  <CharactersWithSpaces>4127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2020-05-09T01:03:00Z</dcterms:created>
  <dc:creator>Windows User</dc:creator>
  <cp:lastModifiedBy>Administrator</cp:lastModifiedBy>
  <cp:lastPrinted>2023-05-31T04:55:00Z</cp:lastPrinted>
  <dcterms:modified xsi:type="dcterms:W3CDTF">2023-08-29T07:46:58Z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2CC406A443BE43C085BC67152996B3B6_13</vt:lpwstr>
  </property>
</Properties>
</file>