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 w:eastAsia="仿宋" w:cs="仿宋"/>
          <w:b/>
          <w:bCs/>
          <w:color w:val="000000"/>
          <w:kern w:val="0"/>
          <w:sz w:val="32"/>
          <w:szCs w:val="32"/>
        </w:rPr>
      </w:pPr>
      <w:bookmarkStart w:id="0" w:name="_GoBack"/>
      <w:bookmarkEnd w:id="0"/>
      <w:r>
        <w:rPr>
          <w:rFonts w:hint="eastAsia" w:ascii="仿宋" w:eastAsia="仿宋" w:cs="仿宋"/>
          <w:b/>
          <w:bCs/>
          <w:color w:val="000000"/>
          <w:kern w:val="0"/>
          <w:sz w:val="32"/>
          <w:szCs w:val="32"/>
          <w:lang w:val="en-US" w:eastAsia="zh-CN"/>
        </w:rPr>
        <w:t>2022年度</w:t>
      </w:r>
      <w:r>
        <w:rPr>
          <w:rFonts w:hint="eastAsia" w:ascii="仿宋" w:eastAsia="仿宋" w:cs="仿宋"/>
          <w:b/>
          <w:bCs/>
          <w:color w:val="000000"/>
          <w:kern w:val="0"/>
          <w:sz w:val="32"/>
          <w:szCs w:val="32"/>
        </w:rPr>
        <w:t>湘潭市计量测试检定所</w:t>
      </w:r>
    </w:p>
    <w:p>
      <w:pPr>
        <w:spacing w:line="520" w:lineRule="exact"/>
        <w:jc w:val="center"/>
        <w:rPr>
          <w:rFonts w:hint="eastAsia" w:ascii="仿宋" w:eastAsia="仿宋" w:cs="仿宋"/>
          <w:b/>
          <w:bCs/>
          <w:color w:val="000000"/>
          <w:kern w:val="0"/>
          <w:sz w:val="32"/>
          <w:szCs w:val="32"/>
        </w:rPr>
      </w:pPr>
      <w:r>
        <w:rPr>
          <w:rFonts w:hint="eastAsia" w:ascii="仿宋" w:eastAsia="仿宋" w:cs="仿宋"/>
          <w:b/>
          <w:bCs/>
          <w:color w:val="000000"/>
          <w:kern w:val="0"/>
          <w:sz w:val="32"/>
          <w:szCs w:val="32"/>
        </w:rPr>
        <w:t>部门整体支出绩效评价报告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ascii="宋体" w:cs="宋体"/>
                <w:szCs w:val="21"/>
              </w:rPr>
            </w:pPr>
            <w:r>
              <w:rPr>
                <w:rFonts w:hint="eastAsia" w:ascii="宋体" w:cs="宋体"/>
                <w:szCs w:val="21"/>
              </w:rPr>
              <w:t>部门概况</w:t>
            </w:r>
          </w:p>
        </w:tc>
        <w:tc>
          <w:tcPr>
            <w:tcW w:w="1985" w:type="dxa"/>
            <w:noWrap w:val="0"/>
            <w:vAlign w:val="center"/>
          </w:tcPr>
          <w:p>
            <w:pPr>
              <w:spacing w:line="576" w:lineRule="exact"/>
              <w:jc w:val="center"/>
              <w:rPr>
                <w:rFonts w:ascii="宋体" w:cs="宋体"/>
                <w:szCs w:val="21"/>
              </w:rPr>
            </w:pPr>
            <w:r>
              <w:rPr>
                <w:rFonts w:hint="eastAsia" w:ascii="宋体" w:cs="宋体"/>
                <w:szCs w:val="21"/>
              </w:rPr>
              <w:t>单位名称</w:t>
            </w:r>
          </w:p>
        </w:tc>
        <w:tc>
          <w:tcPr>
            <w:tcW w:w="5670" w:type="dxa"/>
            <w:noWrap w:val="0"/>
            <w:vAlign w:val="center"/>
          </w:tcPr>
          <w:p>
            <w:pPr>
              <w:spacing w:line="576" w:lineRule="exact"/>
              <w:ind w:right="880" w:rightChars="419"/>
              <w:jc w:val="center"/>
              <w:rPr>
                <w:rFonts w:ascii="宋体" w:cs="宋体"/>
                <w:szCs w:val="21"/>
              </w:rPr>
            </w:pPr>
            <w:r>
              <w:rPr>
                <w:rFonts w:hint="eastAsia" w:ascii="宋体" w:cs="宋体"/>
                <w:szCs w:val="21"/>
              </w:rPr>
              <w:t>湘潭市计量测试检定所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tc>
        <w:tc>
          <w:tcPr>
            <w:tcW w:w="1985" w:type="dxa"/>
            <w:noWrap w:val="0"/>
            <w:vAlign w:val="center"/>
          </w:tcPr>
          <w:p>
            <w:pPr>
              <w:spacing w:line="576" w:lineRule="exact"/>
              <w:jc w:val="center"/>
              <w:rPr>
                <w:rFonts w:ascii="宋体" w:cs="宋体"/>
                <w:szCs w:val="21"/>
              </w:rPr>
            </w:pPr>
            <w:r>
              <w:rPr>
                <w:rFonts w:hint="eastAsia" w:ascii="宋体" w:cs="宋体"/>
                <w:szCs w:val="21"/>
              </w:rPr>
              <w:t>年度预算金额</w:t>
            </w:r>
          </w:p>
        </w:tc>
        <w:tc>
          <w:tcPr>
            <w:tcW w:w="5670" w:type="dxa"/>
            <w:noWrap w:val="0"/>
            <w:vAlign w:val="center"/>
          </w:tcPr>
          <w:p>
            <w:pPr>
              <w:spacing w:line="576" w:lineRule="exact"/>
              <w:ind w:right="880" w:rightChars="419"/>
              <w:jc w:val="center"/>
              <w:rPr>
                <w:rFonts w:hint="default" w:ascii="宋体" w:eastAsia="宋体" w:cs="宋体"/>
                <w:szCs w:val="21"/>
                <w:lang w:val="en-US" w:eastAsia="zh-CN"/>
              </w:rPr>
            </w:pPr>
            <w:r>
              <w:rPr>
                <w:rFonts w:hint="eastAsia" w:ascii="宋体" w:cs="宋体"/>
                <w:szCs w:val="21"/>
                <w:lang w:val="en-US" w:eastAsia="zh-CN"/>
              </w:rPr>
              <w:t>938.27万元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tc>
        <w:tc>
          <w:tcPr>
            <w:tcW w:w="1985" w:type="dxa"/>
            <w:noWrap w:val="0"/>
            <w:vAlign w:val="center"/>
          </w:tcPr>
          <w:p>
            <w:pPr>
              <w:spacing w:line="576" w:lineRule="exact"/>
              <w:jc w:val="center"/>
              <w:rPr>
                <w:rFonts w:ascii="宋体" w:cs="宋体"/>
                <w:szCs w:val="21"/>
              </w:rPr>
            </w:pPr>
            <w:r>
              <w:rPr>
                <w:rFonts w:hint="eastAsia" w:ascii="宋体" w:cs="宋体"/>
                <w:szCs w:val="21"/>
              </w:rPr>
              <w:t>主管部门</w:t>
            </w:r>
          </w:p>
        </w:tc>
        <w:tc>
          <w:tcPr>
            <w:tcW w:w="5670" w:type="dxa"/>
            <w:noWrap w:val="0"/>
            <w:vAlign w:val="center"/>
          </w:tcPr>
          <w:p>
            <w:pPr>
              <w:spacing w:line="576" w:lineRule="exact"/>
              <w:ind w:right="880" w:rightChars="419"/>
              <w:jc w:val="center"/>
              <w:rPr>
                <w:rFonts w:ascii="宋体" w:cs="宋体"/>
                <w:szCs w:val="21"/>
              </w:rPr>
            </w:pPr>
            <w:r>
              <w:rPr>
                <w:rFonts w:hint="eastAsia" w:ascii="宋体" w:cs="宋体"/>
                <w:szCs w:val="21"/>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tc>
        <w:tc>
          <w:tcPr>
            <w:tcW w:w="1985" w:type="dxa"/>
            <w:noWrap w:val="0"/>
            <w:vAlign w:val="center"/>
          </w:tcPr>
          <w:p>
            <w:pPr>
              <w:spacing w:line="576" w:lineRule="exact"/>
              <w:jc w:val="center"/>
              <w:rPr>
                <w:rFonts w:ascii="宋体" w:cs="宋体"/>
                <w:szCs w:val="21"/>
              </w:rPr>
            </w:pPr>
            <w:r>
              <w:rPr>
                <w:rFonts w:hint="eastAsia" w:ascii="宋体" w:cs="宋体"/>
                <w:szCs w:val="21"/>
              </w:rPr>
              <w:t>单位基本职能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hint="eastAsia" w:ascii="宋体" w:cs="宋体"/>
                <w:szCs w:val="21"/>
              </w:rPr>
            </w:pPr>
            <w:r>
              <w:rPr>
                <w:rFonts w:hint="eastAsia" w:ascii="宋体" w:cs="宋体"/>
                <w:szCs w:val="21"/>
              </w:rPr>
              <w:t>(一)研究、建立计量基准、社会公用计量标准或者本专业的计量标准；</w:t>
            </w:r>
          </w:p>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hint="eastAsia" w:ascii="宋体" w:cs="宋体"/>
                <w:szCs w:val="21"/>
              </w:rPr>
            </w:pPr>
            <w:r>
              <w:rPr>
                <w:rFonts w:hint="eastAsia" w:ascii="宋体" w:cs="宋体"/>
                <w:szCs w:val="21"/>
              </w:rPr>
              <w:t>(二)承担授权范围内的量值传递，执行强制检定和法律规定的其他检定、测试任务；</w:t>
            </w:r>
          </w:p>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hint="eastAsia" w:ascii="宋体" w:cs="宋体"/>
                <w:szCs w:val="21"/>
              </w:rPr>
            </w:pPr>
            <w:r>
              <w:rPr>
                <w:rFonts w:hint="eastAsia" w:ascii="宋体" w:cs="宋体"/>
                <w:szCs w:val="21"/>
              </w:rPr>
              <w:t>(三)开展校准工作；</w:t>
            </w:r>
          </w:p>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hint="eastAsia" w:ascii="宋体" w:cs="宋体"/>
                <w:szCs w:val="21"/>
              </w:rPr>
            </w:pPr>
            <w:r>
              <w:rPr>
                <w:rFonts w:hint="eastAsia" w:ascii="宋体" w:cs="宋体"/>
                <w:szCs w:val="21"/>
              </w:rPr>
              <w:t>(四)研究起草计量检定规程、计量技术规范；</w:t>
            </w:r>
          </w:p>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ascii="宋体" w:cs="宋体"/>
                <w:szCs w:val="21"/>
              </w:rPr>
            </w:pPr>
            <w:r>
              <w:rPr>
                <w:rFonts w:hint="eastAsia" w:ascii="宋体" w:cs="宋体"/>
                <w:szCs w:val="21"/>
              </w:rPr>
              <w:t>(五)承办有关计量监督中的技术性工作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ascii="宋体" w:cs="宋体"/>
                <w:szCs w:val="21"/>
              </w:rPr>
            </w:pPr>
            <w:r>
              <w:rPr>
                <w:rFonts w:hint="eastAsia" w:ascii="宋体" w:cs="宋体"/>
                <w:szCs w:val="21"/>
              </w:rPr>
              <w:t>绩效完成情况</w:t>
            </w:r>
          </w:p>
        </w:tc>
        <w:tc>
          <w:tcPr>
            <w:tcW w:w="1985" w:type="dxa"/>
            <w:noWrap w:val="0"/>
            <w:vAlign w:val="center"/>
          </w:tcPr>
          <w:p>
            <w:pPr>
              <w:spacing w:line="576" w:lineRule="exact"/>
              <w:jc w:val="center"/>
              <w:rPr>
                <w:rFonts w:ascii="宋体" w:cs="宋体"/>
                <w:szCs w:val="21"/>
              </w:rPr>
            </w:pPr>
            <w:r>
              <w:rPr>
                <w:rFonts w:hint="eastAsia" w:ascii="宋体" w:cs="宋体"/>
                <w:szCs w:val="21"/>
              </w:rPr>
              <w:t>部门整体支出管理和使用基本情况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宋体" w:cs="宋体"/>
                <w:szCs w:val="21"/>
              </w:rPr>
            </w:pPr>
            <w:r>
              <w:rPr>
                <w:rFonts w:hint="eastAsia" w:ascii="宋体" w:cs="宋体"/>
                <w:szCs w:val="21"/>
                <w:lang w:eastAsia="zh-CN"/>
              </w:rPr>
              <w:t>202</w:t>
            </w:r>
            <w:r>
              <w:rPr>
                <w:rFonts w:hint="eastAsia" w:ascii="宋体" w:cs="宋体"/>
                <w:szCs w:val="21"/>
                <w:lang w:val="en-US" w:eastAsia="zh-CN"/>
              </w:rPr>
              <w:t>2</w:t>
            </w:r>
            <w:r>
              <w:rPr>
                <w:rFonts w:hint="eastAsia" w:ascii="宋体" w:cs="宋体"/>
                <w:szCs w:val="21"/>
                <w:lang w:eastAsia="zh-CN"/>
              </w:rPr>
              <w:t>年</w:t>
            </w:r>
            <w:r>
              <w:rPr>
                <w:rFonts w:hint="eastAsia" w:ascii="宋体" w:cs="宋体"/>
                <w:szCs w:val="21"/>
              </w:rPr>
              <w:t>湘潭市计量测试检定所整体支出绩效指标完成情况得分9</w:t>
            </w:r>
            <w:r>
              <w:rPr>
                <w:rFonts w:hint="eastAsia" w:ascii="宋体" w:cs="宋体"/>
                <w:szCs w:val="21"/>
                <w:lang w:val="en-US" w:eastAsia="zh-CN"/>
              </w:rPr>
              <w:t>8</w:t>
            </w:r>
            <w:r>
              <w:rPr>
                <w:rFonts w:hint="eastAsia" w:ascii="宋体" w:cs="宋体"/>
                <w:szCs w:val="21"/>
              </w:rPr>
              <w:t>分，全年部门整体支出管理和使用基本情况如下：</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宋体" w:cs="宋体"/>
                <w:szCs w:val="21"/>
              </w:rPr>
            </w:pPr>
            <w:r>
              <w:rPr>
                <w:rFonts w:hint="eastAsia" w:ascii="宋体" w:cs="宋体"/>
                <w:szCs w:val="21"/>
              </w:rPr>
              <w:t>1、年初预算情况</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宋体" w:cs="宋体"/>
                <w:szCs w:val="21"/>
              </w:rPr>
            </w:pPr>
            <w:r>
              <w:rPr>
                <w:rFonts w:hint="eastAsia" w:ascii="宋体" w:cs="宋体"/>
                <w:szCs w:val="21"/>
                <w:lang w:eastAsia="zh-CN"/>
              </w:rPr>
              <w:t>202</w:t>
            </w:r>
            <w:r>
              <w:rPr>
                <w:rFonts w:hint="eastAsia" w:ascii="宋体" w:cs="宋体"/>
                <w:szCs w:val="21"/>
                <w:lang w:val="en-US" w:eastAsia="zh-CN"/>
              </w:rPr>
              <w:t>2</w:t>
            </w:r>
            <w:r>
              <w:rPr>
                <w:rFonts w:hint="eastAsia" w:ascii="宋体" w:cs="宋体"/>
                <w:szCs w:val="21"/>
                <w:lang w:eastAsia="zh-CN"/>
              </w:rPr>
              <w:t>年</w:t>
            </w:r>
            <w:r>
              <w:rPr>
                <w:rFonts w:hint="eastAsia" w:ascii="宋体" w:cs="宋体"/>
                <w:szCs w:val="21"/>
              </w:rPr>
              <w:t>度年初部门预算</w:t>
            </w:r>
            <w:r>
              <w:rPr>
                <w:rFonts w:hint="eastAsia" w:ascii="宋体" w:cs="宋体"/>
                <w:szCs w:val="21"/>
                <w:lang w:val="en-US" w:eastAsia="zh-CN"/>
              </w:rPr>
              <w:t>938.27</w:t>
            </w:r>
            <w:r>
              <w:rPr>
                <w:rFonts w:hint="eastAsia" w:ascii="宋体" w:cs="宋体"/>
                <w:szCs w:val="21"/>
              </w:rPr>
              <w:t>万元，预算中基本支出</w:t>
            </w:r>
            <w:r>
              <w:rPr>
                <w:rFonts w:hint="eastAsia" w:ascii="宋体" w:cs="宋体"/>
                <w:szCs w:val="21"/>
                <w:lang w:val="en-US" w:eastAsia="zh-CN"/>
              </w:rPr>
              <w:t>766.33</w:t>
            </w:r>
            <w:r>
              <w:rPr>
                <w:rFonts w:hint="eastAsia" w:ascii="宋体" w:cs="宋体"/>
                <w:szCs w:val="21"/>
              </w:rPr>
              <w:t>万元，项目支出</w:t>
            </w:r>
            <w:r>
              <w:rPr>
                <w:rFonts w:hint="eastAsia" w:ascii="宋体" w:cs="宋体"/>
                <w:szCs w:val="21"/>
                <w:lang w:eastAsia="zh-CN"/>
              </w:rPr>
              <w:t>1</w:t>
            </w:r>
            <w:r>
              <w:rPr>
                <w:rFonts w:hint="eastAsia" w:ascii="宋体" w:cs="宋体"/>
                <w:szCs w:val="21"/>
                <w:lang w:val="en-US" w:eastAsia="zh-CN"/>
              </w:rPr>
              <w:t>7</w:t>
            </w:r>
            <w:r>
              <w:rPr>
                <w:rFonts w:hint="eastAsia" w:ascii="宋体" w:cs="宋体"/>
                <w:szCs w:val="21"/>
                <w:lang w:eastAsia="zh-CN"/>
              </w:rPr>
              <w:t>1.94</w:t>
            </w:r>
            <w:r>
              <w:rPr>
                <w:rFonts w:hint="eastAsia" w:ascii="宋体" w:cs="宋体"/>
                <w:szCs w:val="21"/>
              </w:rPr>
              <w:t>万元。基本支出中工资福利支出</w:t>
            </w:r>
            <w:r>
              <w:rPr>
                <w:rFonts w:hint="eastAsia" w:ascii="宋体" w:cs="宋体"/>
                <w:szCs w:val="21"/>
                <w:lang w:val="en-US" w:eastAsia="zh-CN"/>
              </w:rPr>
              <w:t>658.04</w:t>
            </w:r>
            <w:r>
              <w:rPr>
                <w:rFonts w:hint="eastAsia" w:ascii="宋体" w:cs="宋体"/>
                <w:szCs w:val="21"/>
              </w:rPr>
              <w:t>万元，商品和服务支出</w:t>
            </w:r>
            <w:r>
              <w:rPr>
                <w:rFonts w:hint="eastAsia" w:ascii="宋体" w:cs="宋体"/>
                <w:szCs w:val="21"/>
                <w:lang w:val="en-US" w:eastAsia="zh-CN"/>
              </w:rPr>
              <w:t>77.04</w:t>
            </w:r>
            <w:r>
              <w:rPr>
                <w:rFonts w:hint="eastAsia" w:ascii="宋体" w:cs="宋体"/>
                <w:szCs w:val="21"/>
              </w:rPr>
              <w:t>万元，对个人和家庭的补助支出</w:t>
            </w:r>
            <w:r>
              <w:rPr>
                <w:rFonts w:hint="eastAsia" w:ascii="宋体" w:cs="宋体"/>
                <w:szCs w:val="21"/>
                <w:lang w:val="en-US" w:eastAsia="zh-CN"/>
              </w:rPr>
              <w:t>31.25</w:t>
            </w:r>
            <w:r>
              <w:rPr>
                <w:rFonts w:hint="eastAsia" w:ascii="宋体" w:cs="宋体"/>
                <w:szCs w:val="21"/>
              </w:rPr>
              <w:t>万元。项目支出中业务性专项</w:t>
            </w:r>
            <w:r>
              <w:rPr>
                <w:rFonts w:hint="eastAsia" w:ascii="宋体" w:cs="宋体"/>
                <w:szCs w:val="21"/>
                <w:lang w:eastAsia="zh-CN"/>
              </w:rPr>
              <w:t>1</w:t>
            </w:r>
            <w:r>
              <w:rPr>
                <w:rFonts w:hint="eastAsia" w:ascii="宋体" w:cs="宋体"/>
                <w:szCs w:val="21"/>
                <w:lang w:val="en-US" w:eastAsia="zh-CN"/>
              </w:rPr>
              <w:t>7</w:t>
            </w:r>
            <w:r>
              <w:rPr>
                <w:rFonts w:hint="eastAsia" w:ascii="宋体" w:cs="宋体"/>
                <w:szCs w:val="21"/>
                <w:lang w:eastAsia="zh-CN"/>
              </w:rPr>
              <w:t>1.94</w:t>
            </w:r>
            <w:r>
              <w:rPr>
                <w:rFonts w:hint="eastAsia" w:ascii="宋体" w:cs="宋体"/>
                <w:szCs w:val="21"/>
              </w:rPr>
              <w:t>万元。</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宋体" w:cs="宋体"/>
                <w:szCs w:val="21"/>
                <w:lang w:val="en-US" w:eastAsia="zh-CN"/>
              </w:rPr>
            </w:pPr>
            <w:r>
              <w:rPr>
                <w:rFonts w:hint="eastAsia" w:ascii="宋体" w:cs="宋体"/>
                <w:szCs w:val="21"/>
                <w:lang w:val="en-US" w:eastAsia="zh-CN"/>
              </w:rPr>
              <w:t>2、年中追加预算情况</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宋体" w:cs="宋体"/>
                <w:szCs w:val="21"/>
              </w:rPr>
            </w:pPr>
            <w:r>
              <w:rPr>
                <w:rFonts w:hint="eastAsia" w:ascii="宋体" w:cs="宋体"/>
                <w:szCs w:val="21"/>
                <w:lang w:val="en-US" w:eastAsia="zh-CN"/>
              </w:rPr>
              <w:t>年中追加220.11万元，其中基本支出追加220.11万元（在职人员绩效奖金111.54万元,2021年绩效考核奖51.50万元，退休人员生活补助29.94万元，调整工资7.8万元，2022年上半年抚恤金3.29万元,增人增资（工资提标）16.04万元）。</w:t>
            </w:r>
            <w:r>
              <w:rPr>
                <w:rFonts w:hint="eastAsia" w:ascii="宋体" w:cs="宋体"/>
                <w:szCs w:val="21"/>
              </w:rPr>
              <w:t>预算调整都是因落实国家政策、上级部门或本级党委政府临时交办而产生的调整。</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right="0" w:rightChars="0"/>
              <w:jc w:val="left"/>
              <w:textAlignment w:val="auto"/>
              <w:rPr>
                <w:rFonts w:hint="eastAsia" w:ascii="宋体" w:cs="宋体"/>
                <w:szCs w:val="21"/>
                <w:lang w:eastAsia="zh-CN"/>
              </w:rPr>
            </w:pPr>
            <w:r>
              <w:rPr>
                <w:rFonts w:hint="eastAsia" w:ascii="宋体" w:cs="宋体"/>
                <w:szCs w:val="21"/>
                <w:lang w:eastAsia="zh-CN"/>
              </w:rPr>
              <w:t>其他收入情况</w:t>
            </w:r>
          </w:p>
          <w:p>
            <w:pPr>
              <w:pStyle w:val="4"/>
              <w:numPr>
                <w:ilvl w:val="0"/>
                <w:numId w:val="0"/>
              </w:numPr>
              <w:rPr>
                <w:rFonts w:hint="eastAsia" w:ascii="宋体" w:eastAsia="宋体" w:cs="宋体"/>
                <w:kern w:val="2"/>
                <w:sz w:val="21"/>
                <w:szCs w:val="21"/>
                <w:lang w:val="en-US" w:eastAsia="zh-CN" w:bidi="ar-SA"/>
              </w:rPr>
            </w:pPr>
            <w:r>
              <w:rPr>
                <w:rFonts w:hint="eastAsia" w:ascii="宋体" w:hAnsi="Calibri" w:eastAsia="宋体" w:cs="宋体"/>
                <w:kern w:val="2"/>
                <w:sz w:val="21"/>
                <w:szCs w:val="21"/>
                <w:lang w:val="en-US" w:eastAsia="zh-CN" w:bidi="ar-SA"/>
              </w:rPr>
              <w:t>202</w:t>
            </w:r>
            <w:r>
              <w:rPr>
                <w:rFonts w:hint="eastAsia" w:ascii="宋体" w:eastAsia="宋体" w:cs="宋体"/>
                <w:kern w:val="2"/>
                <w:sz w:val="21"/>
                <w:szCs w:val="21"/>
                <w:lang w:val="en-US" w:eastAsia="zh-CN" w:bidi="ar-SA"/>
              </w:rPr>
              <w:t>2</w:t>
            </w:r>
            <w:r>
              <w:rPr>
                <w:rFonts w:hint="eastAsia" w:ascii="宋体" w:hAnsi="Calibri" w:eastAsia="宋体" w:cs="宋体"/>
                <w:kern w:val="2"/>
                <w:sz w:val="21"/>
                <w:szCs w:val="21"/>
                <w:lang w:val="en-US" w:eastAsia="zh-CN" w:bidi="ar-SA"/>
              </w:rPr>
              <w:t>年度</w:t>
            </w:r>
            <w:r>
              <w:rPr>
                <w:rFonts w:hint="eastAsia" w:ascii="宋体" w:eastAsia="宋体" w:cs="宋体"/>
                <w:kern w:val="2"/>
                <w:sz w:val="21"/>
                <w:szCs w:val="21"/>
                <w:lang w:val="en-US" w:eastAsia="zh-CN" w:bidi="ar-SA"/>
              </w:rPr>
              <w:t>全年其他收入0.07万元。</w:t>
            </w:r>
          </w:p>
          <w:p>
            <w:pPr>
              <w:pStyle w:val="4"/>
              <w:numPr>
                <w:ilvl w:val="0"/>
                <w:numId w:val="1"/>
              </w:numPr>
              <w:ind w:left="0" w:leftChars="0" w:firstLine="0" w:firstLineChars="0"/>
              <w:rPr>
                <w:rFonts w:hint="eastAsia" w:ascii="宋体" w:eastAsia="宋体" w:cs="宋体"/>
                <w:kern w:val="2"/>
                <w:sz w:val="21"/>
                <w:szCs w:val="21"/>
                <w:lang w:val="en-US" w:eastAsia="zh-CN" w:bidi="ar-SA"/>
              </w:rPr>
            </w:pPr>
            <w:r>
              <w:rPr>
                <w:rFonts w:hint="eastAsia" w:ascii="宋体" w:eastAsia="宋体" w:cs="宋体"/>
                <w:kern w:val="2"/>
                <w:sz w:val="21"/>
                <w:szCs w:val="21"/>
                <w:lang w:val="en-US" w:eastAsia="zh-CN" w:bidi="ar-SA"/>
              </w:rPr>
              <w:t>结转结余情况</w:t>
            </w:r>
          </w:p>
          <w:p>
            <w:pPr>
              <w:pStyle w:val="4"/>
              <w:numPr>
                <w:ilvl w:val="0"/>
                <w:numId w:val="0"/>
              </w:numPr>
              <w:ind w:leftChars="0"/>
              <w:rPr>
                <w:rFonts w:hint="default" w:ascii="宋体" w:eastAsia="宋体" w:cs="宋体"/>
                <w:kern w:val="2"/>
                <w:sz w:val="21"/>
                <w:szCs w:val="21"/>
                <w:lang w:val="en-US" w:eastAsia="zh-CN" w:bidi="ar-SA"/>
              </w:rPr>
            </w:pPr>
            <w:r>
              <w:rPr>
                <w:rFonts w:hint="eastAsia" w:ascii="宋体" w:eastAsia="宋体" w:cs="宋体"/>
                <w:kern w:val="2"/>
                <w:sz w:val="21"/>
                <w:szCs w:val="21"/>
                <w:lang w:val="en-US" w:eastAsia="zh-CN" w:bidi="ar-SA"/>
              </w:rPr>
              <w:t>2021年结转5.38万元，按收缴归集按国发【2021】5号相关要求，支付结余不再按权责发生制列支，上年度结转资金转入今年收入，本年度无结转结余资金。</w:t>
            </w:r>
          </w:p>
          <w:p>
            <w:pPr>
              <w:pStyle w:val="4"/>
              <w:numPr>
                <w:ilvl w:val="0"/>
                <w:numId w:val="1"/>
              </w:numPr>
              <w:ind w:left="0" w:leftChars="0" w:firstLine="0" w:firstLineChars="0"/>
              <w:rPr>
                <w:rFonts w:hint="default" w:ascii="宋体" w:eastAsia="宋体" w:cs="宋体"/>
                <w:kern w:val="2"/>
                <w:sz w:val="21"/>
                <w:szCs w:val="21"/>
                <w:lang w:val="en-US" w:eastAsia="zh-CN" w:bidi="ar-SA"/>
              </w:rPr>
            </w:pPr>
            <w:r>
              <w:rPr>
                <w:rFonts w:hint="eastAsia" w:ascii="宋体" w:eastAsia="宋体" w:cs="宋体"/>
                <w:kern w:val="2"/>
                <w:sz w:val="21"/>
                <w:szCs w:val="21"/>
                <w:lang w:val="en-US" w:eastAsia="zh-CN" w:bidi="ar-SA"/>
              </w:rPr>
              <w:t>三公经费情况</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ascii="宋体" w:cs="宋体"/>
                <w:szCs w:val="21"/>
              </w:rPr>
            </w:pPr>
            <w:r>
              <w:rPr>
                <w:rFonts w:hint="eastAsia" w:ascii="宋体" w:cs="宋体"/>
                <w:szCs w:val="21"/>
                <w:lang w:eastAsia="zh-CN"/>
              </w:rPr>
              <w:t>我</w:t>
            </w:r>
            <w:r>
              <w:rPr>
                <w:rFonts w:hint="eastAsia" w:ascii="宋体" w:cs="宋体"/>
                <w:szCs w:val="21"/>
              </w:rPr>
              <w:t>所</w:t>
            </w:r>
            <w:r>
              <w:rPr>
                <w:rFonts w:hint="eastAsia" w:ascii="宋体" w:cs="宋体"/>
                <w:szCs w:val="21"/>
                <w:lang w:eastAsia="zh-CN"/>
              </w:rPr>
              <w:t>202</w:t>
            </w:r>
            <w:r>
              <w:rPr>
                <w:rFonts w:hint="eastAsia" w:ascii="宋体" w:cs="宋体"/>
                <w:szCs w:val="21"/>
                <w:lang w:val="en-US" w:eastAsia="zh-CN"/>
              </w:rPr>
              <w:t>2</w:t>
            </w:r>
            <w:r>
              <w:rPr>
                <w:rFonts w:hint="eastAsia" w:ascii="宋体" w:cs="宋体"/>
                <w:szCs w:val="21"/>
                <w:lang w:eastAsia="zh-CN"/>
              </w:rPr>
              <w:t>年</w:t>
            </w:r>
            <w:r>
              <w:rPr>
                <w:rFonts w:hint="eastAsia" w:ascii="宋体" w:cs="宋体"/>
                <w:szCs w:val="21"/>
              </w:rPr>
              <w:t>“三公”经费预算数为</w:t>
            </w:r>
            <w:r>
              <w:rPr>
                <w:rFonts w:hint="eastAsia" w:ascii="宋体" w:cs="宋体"/>
                <w:szCs w:val="21"/>
                <w:lang w:val="en-US" w:eastAsia="zh-CN"/>
              </w:rPr>
              <w:t>16.23</w:t>
            </w:r>
            <w:r>
              <w:rPr>
                <w:rFonts w:hint="eastAsia" w:ascii="宋体" w:cs="宋体"/>
                <w:szCs w:val="21"/>
              </w:rPr>
              <w:t xml:space="preserve"> 万元，其中：因公出国（境）费0万元，公务用车购置及运行费</w:t>
            </w:r>
            <w:r>
              <w:rPr>
                <w:rFonts w:hint="eastAsia" w:ascii="宋体" w:cs="宋体"/>
                <w:szCs w:val="21"/>
                <w:lang w:val="en-US" w:eastAsia="zh-CN"/>
              </w:rPr>
              <w:t>16</w:t>
            </w:r>
            <w:r>
              <w:rPr>
                <w:rFonts w:hint="eastAsia" w:ascii="宋体" w:cs="宋体"/>
                <w:szCs w:val="21"/>
              </w:rPr>
              <w:t>万元（其中，公务用车购置费0万元，公务用车运行费</w:t>
            </w:r>
            <w:r>
              <w:rPr>
                <w:rFonts w:hint="eastAsia" w:ascii="宋体" w:cs="宋体"/>
                <w:szCs w:val="21"/>
                <w:lang w:val="en-US" w:eastAsia="zh-CN"/>
              </w:rPr>
              <w:t>16</w:t>
            </w:r>
            <w:r>
              <w:rPr>
                <w:rFonts w:hint="eastAsia" w:ascii="宋体" w:cs="宋体"/>
                <w:szCs w:val="21"/>
              </w:rPr>
              <w:t>万元），公务接待</w:t>
            </w:r>
            <w:r>
              <w:rPr>
                <w:rFonts w:hint="eastAsia" w:ascii="宋体" w:cs="宋体"/>
                <w:szCs w:val="21"/>
                <w:lang w:val="en-US" w:eastAsia="zh-CN"/>
              </w:rPr>
              <w:t>0.23</w:t>
            </w:r>
            <w:r>
              <w:rPr>
                <w:rFonts w:hint="eastAsia" w:ascii="宋体" w:cs="宋体"/>
                <w:szCs w:val="21"/>
              </w:rPr>
              <w:t>万元。全年接待费开支</w:t>
            </w:r>
            <w:r>
              <w:rPr>
                <w:rFonts w:hint="eastAsia" w:ascii="宋体" w:cs="宋体"/>
                <w:szCs w:val="21"/>
                <w:lang w:val="en-US" w:eastAsia="zh-CN"/>
              </w:rPr>
              <w:t>0.23</w:t>
            </w:r>
            <w:r>
              <w:rPr>
                <w:rFonts w:hint="eastAsia" w:ascii="宋体" w:cs="宋体"/>
                <w:szCs w:val="21"/>
              </w:rPr>
              <w:t>万元，公车运行费开支</w:t>
            </w:r>
            <w:r>
              <w:rPr>
                <w:rFonts w:hint="eastAsia" w:ascii="宋体" w:cs="宋体"/>
                <w:szCs w:val="21"/>
                <w:lang w:val="en-US" w:eastAsia="zh-CN"/>
              </w:rPr>
              <w:t>9.33万</w:t>
            </w:r>
            <w:r>
              <w:rPr>
                <w:rFonts w:hint="eastAsia" w:ascii="宋体" w:cs="宋体"/>
                <w:szCs w:val="21"/>
              </w:rPr>
              <w:t>元，未超控制数。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tc>
        <w:tc>
          <w:tcPr>
            <w:tcW w:w="1985" w:type="dxa"/>
            <w:noWrap w:val="0"/>
            <w:vAlign w:val="center"/>
          </w:tcPr>
          <w:p>
            <w:pPr>
              <w:spacing w:line="576" w:lineRule="exact"/>
              <w:jc w:val="center"/>
              <w:rPr>
                <w:rFonts w:ascii="宋体" w:cs="宋体"/>
                <w:szCs w:val="21"/>
              </w:rPr>
            </w:pPr>
            <w:r>
              <w:rPr>
                <w:rFonts w:hint="eastAsia" w:ascii="宋体" w:cs="宋体"/>
                <w:szCs w:val="21"/>
              </w:rPr>
              <w:t>绩效目标完成情况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default" w:ascii="宋体" w:cs="宋体"/>
                <w:szCs w:val="21"/>
                <w:lang w:val="en-US" w:eastAsia="zh-CN"/>
              </w:rPr>
            </w:pPr>
            <w:r>
              <w:rPr>
                <w:rFonts w:hint="eastAsia" w:ascii="宋体" w:cs="宋体"/>
                <w:szCs w:val="21"/>
                <w:lang w:val="en-US" w:eastAsia="zh-CN"/>
              </w:rPr>
              <w:t>2022年度我计量所在习近平新时代中国特色社会主义思想指引下，在市局分管领导正确指导下，在深入开展党史学习教育的同时按照“学党史、悟思想、办实事、开新局”的要求团结带领全体干部职工励精图治、锐意进取、奋勇拼搏，在支部党建、业务开展、科研攻关、创新服务等方面取得了长足的进步，现将工作情况汇报如下：</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一）坚持科研创新,积极服务产业计量。</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1、获批了《铁水包称重方法的优化研究》和《硫铵结晶槽在线检测酸度方法的研究》二个课题科技立项，协助湘钢完成了7个大型技改项目实现了企业部分测量工作的自动化操作。</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2、《液压拉伸器校准方法的研究》科技课题完美结题，进一步提升了我们服务国家风能产业的计量技术能力；今年已免费为哈电风能校准371把液压拉伸器，充分保证了风机装配的质量和安全；</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3、完成了谷物水分测定仪检定装置的建标工作，并在今年粮食收购之前，完成了对湘潭市，湘潭县，韶山市和湘乡市等几个地区的谷物水分分析仪的检定工作。</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4、承办了中国计量协会组织的对湘钢计量人员在力学、电学、温度、化学以及长度等五个专业领域的21个项目65人次进行了专业能力的考核。</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二）牢记服务宗旨，积极服务地方民生计量。</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1、应市发改委通知要求我所成立专班，分工协作，通过二十多天的连续奋战，最终将全市9个出租车公司的1135台出租车计价器全部调价到位，确保了全市的士的正常运行。</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2、全年共计检定大小商贸衡器1067台次；同时对全市范围内在用2475台农贸市场衡器进行了检定。其中发现5家农贸市场出现了作弊秤，共查处作弊秤6台次，对于肃清全市农贸市场违法作弊短斤少两行为起到积极作用。</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三）加强基础设施建设，努力完善职工工作及就餐环境。</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1、顺利完成附属楼基建工程项目竣工验收以及各实验室设施配置。</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2、完成附属楼新食堂的建设并投入使用，彻底解决了干部职工早中餐就餐难问题。</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lang w:eastAsia="zh-CN"/>
              </w:rPr>
              <w:t>四）</w:t>
            </w:r>
            <w:r>
              <w:rPr>
                <w:rFonts w:hint="eastAsia" w:ascii="宋体" w:hAnsi="宋体" w:eastAsia="宋体" w:cs="宋体"/>
                <w:spacing w:val="6"/>
                <w:kern w:val="0"/>
                <w:sz w:val="21"/>
                <w:szCs w:val="21"/>
              </w:rPr>
              <w:t>年初制定详细工作方案，明确各科室人员配置及全年业务量，严格全员绩效考核管理，确保全体干部职工遵纪依规、恪尽职守。</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1、保质保量完成各类检定任务</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我所共受理计量器具检定申报1215家次，完成计量器具检定11287台（件），其中强制检定计量器具9941台（件）；另完成燃气表监督检查8014台件，水表抽查1400台（件），不合格计量器具379台（件）。累计为全市企业免费检定各类计量器具超过1.1万台（件），为企业减负400余万元。</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2、积极落实上级各项部署 </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一是完成省局年初安排的地市食品生产企业和食品检测机构的现场调研，共计走访我市两区三县（市）大中小型食品生产企业15家，食品检测机构4家。</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二是落实市局安排的夏粮收购配套计量检定服务工作。</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三是按照市局疫情防控要求，我们组织动员本所全体工作人员按要求做好了核酸检测，并督促物业落实来访登记扫码、检测体温、消毒清洁等各项防疫措施。</w:t>
            </w:r>
          </w:p>
          <w:p>
            <w:pPr>
              <w:keepNext w:val="0"/>
              <w:keepLines w:val="0"/>
              <w:pageBreakBefore w:val="0"/>
              <w:widowControl/>
              <w:kinsoku w:val="0"/>
              <w:wordWrap/>
              <w:overflowPunct/>
              <w:topLinePunct w:val="0"/>
              <w:autoSpaceDE w:val="0"/>
              <w:autoSpaceDN w:val="0"/>
              <w:bidi w:val="0"/>
              <w:adjustRightInd w:val="0"/>
              <w:snapToGrid w:val="0"/>
              <w:spacing w:before="120" w:beforeLines="50" w:line="360" w:lineRule="auto"/>
              <w:ind w:right="11"/>
              <w:jc w:val="left"/>
              <w:textAlignment w:val="baseline"/>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四是配合市局计量科完成了商品净含量定量包装的“双随机”复查工作和市区加油站计量专项整治工作。在计量科的主导下共进驻企业36家，共抽查油站10家，计20条枪；抽查商品生产企业26家，饮料、化肥、大米等产品共计21个批次，对800余件样本进行了检测，出具证书63份。</w:t>
            </w:r>
          </w:p>
          <w:p>
            <w:pPr>
              <w:pStyle w:val="2"/>
              <w:spacing w:line="360" w:lineRule="auto"/>
              <w:rPr>
                <w:rFonts w:ascii="宋体" w:cs="宋体"/>
                <w:szCs w:val="21"/>
              </w:rPr>
            </w:pPr>
            <w:r>
              <w:rPr>
                <w:rFonts w:hint="eastAsia" w:ascii="宋体" w:hAnsi="宋体" w:eastAsia="宋体" w:cs="宋体"/>
                <w:spacing w:val="6"/>
                <w:kern w:val="0"/>
                <w:sz w:val="21"/>
                <w:szCs w:val="21"/>
              </w:rPr>
              <w:t>五是协助直属二分局，从6月到8月我所组织人员顶高温、战酷暑，加班加点，针对辖区内的120余家两小门店和一家大型农贸市场进行了重点督查，配合市局圆满完成了全市创文任务</w:t>
            </w:r>
            <w:r>
              <w:rPr>
                <w:rFonts w:hint="eastAsia" w:ascii="宋体" w:hAnsi="宋体" w:eastAsia="宋体" w:cs="宋体"/>
                <w:spacing w:val="6"/>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84" w:type="dxa"/>
            <w:vMerge w:val="restart"/>
            <w:noWrap w:val="0"/>
            <w:vAlign w:val="center"/>
          </w:tcPr>
          <w:p>
            <w:pPr>
              <w:spacing w:line="576" w:lineRule="exact"/>
              <w:jc w:val="center"/>
              <w:rPr>
                <w:rFonts w:ascii="宋体" w:cs="宋体"/>
                <w:szCs w:val="21"/>
              </w:rPr>
            </w:pPr>
            <w:r>
              <w:rPr>
                <w:rFonts w:hint="eastAsia" w:ascii="宋体" w:cs="宋体"/>
                <w:szCs w:val="21"/>
              </w:rPr>
              <w:t>存在的问题分析及改进措施</w:t>
            </w:r>
          </w:p>
        </w:tc>
        <w:tc>
          <w:tcPr>
            <w:tcW w:w="1985" w:type="dxa"/>
            <w:noWrap w:val="0"/>
            <w:vAlign w:val="center"/>
          </w:tcPr>
          <w:p>
            <w:pPr>
              <w:spacing w:line="576" w:lineRule="exact"/>
              <w:jc w:val="center"/>
              <w:rPr>
                <w:rFonts w:ascii="宋体" w:cs="宋体"/>
                <w:szCs w:val="21"/>
              </w:rPr>
            </w:pPr>
            <w:r>
              <w:rPr>
                <w:rFonts w:hint="eastAsia" w:ascii="宋体" w:cs="宋体"/>
                <w:szCs w:val="21"/>
              </w:rPr>
              <w:t>存在的问题</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ascii="宋体" w:cs="宋体"/>
                <w:szCs w:val="21"/>
              </w:rPr>
            </w:pPr>
            <w:r>
              <w:rPr>
                <w:rFonts w:hint="eastAsia" w:ascii="宋体" w:cs="宋体"/>
                <w:szCs w:val="21"/>
                <w:lang w:val="en-US" w:eastAsia="zh-CN"/>
              </w:rPr>
              <w:t>因市场环境具有不可预见性，受新冠肺炎疫情严重的影响，医院及卫生院限进导致医用计量器具检定仅完成年初设定指标90.6%，湘潭县、湘乡市停用14条加气枪，导致</w:t>
            </w:r>
            <w:r>
              <w:rPr>
                <w:rFonts w:hint="default" w:ascii="宋体" w:eastAsia="宋体" w:cs="宋体"/>
                <w:kern w:val="0"/>
                <w:szCs w:val="21"/>
                <w:lang w:val="en-US" w:eastAsia="zh-CN"/>
              </w:rPr>
              <w:t>加气机</w:t>
            </w:r>
            <w:r>
              <w:rPr>
                <w:rFonts w:hint="eastAsia" w:ascii="宋体" w:cs="宋体"/>
                <w:kern w:val="0"/>
                <w:szCs w:val="21"/>
                <w:lang w:val="en-US" w:eastAsia="zh-CN"/>
              </w:rPr>
              <w:t>检定</w:t>
            </w:r>
            <w:r>
              <w:rPr>
                <w:rFonts w:hint="eastAsia" w:ascii="宋体" w:cs="宋体"/>
                <w:szCs w:val="21"/>
                <w:lang w:val="en-US" w:eastAsia="zh-CN"/>
              </w:rPr>
              <w:t>仅完成年初设定指标65%，指标设定还有待进一步加强。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tc>
        <w:tc>
          <w:tcPr>
            <w:tcW w:w="1985" w:type="dxa"/>
            <w:noWrap w:val="0"/>
            <w:vAlign w:val="center"/>
          </w:tcPr>
          <w:p>
            <w:pPr>
              <w:spacing w:line="576" w:lineRule="exact"/>
              <w:jc w:val="center"/>
              <w:rPr>
                <w:rFonts w:ascii="宋体" w:cs="宋体"/>
                <w:szCs w:val="21"/>
              </w:rPr>
            </w:pPr>
            <w:r>
              <w:rPr>
                <w:rFonts w:hint="eastAsia" w:ascii="宋体" w:cs="宋体"/>
                <w:szCs w:val="21"/>
              </w:rPr>
              <w:t>改进措施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hint="eastAsia" w:ascii="宋体" w:cs="宋体"/>
                <w:szCs w:val="21"/>
              </w:rPr>
            </w:pPr>
            <w:r>
              <w:rPr>
                <w:rFonts w:hint="eastAsia" w:ascii="宋体" w:cs="宋体"/>
                <w:szCs w:val="21"/>
              </w:rPr>
              <w:t>202</w:t>
            </w:r>
            <w:r>
              <w:rPr>
                <w:rFonts w:hint="eastAsia" w:ascii="宋体" w:cs="宋体"/>
                <w:szCs w:val="21"/>
                <w:lang w:val="en-US" w:eastAsia="zh-CN"/>
              </w:rPr>
              <w:t>3</w:t>
            </w:r>
            <w:r>
              <w:rPr>
                <w:rFonts w:hint="eastAsia" w:ascii="宋体" w:cs="宋体"/>
                <w:szCs w:val="21"/>
              </w:rPr>
              <w:t>年年度指标设定时充分参考相关历史数据、计划标准，做到合理可行，与本单位实际完成能力相匹配，充分恰当地反映部门年度工作的要求、目标及成果，让工作有的放矢</w:t>
            </w:r>
            <w:r>
              <w:rPr>
                <w:rFonts w:hint="eastAsia" w:ascii="宋体" w:cs="宋体"/>
                <w:szCs w:val="21"/>
                <w:lang w:eastAsia="zh-CN"/>
              </w:rPr>
              <w:t>。</w:t>
            </w:r>
            <w:r>
              <w:rPr>
                <w:rFonts w:hint="eastAsia" w:ascii="宋体" w:cs="宋体"/>
                <w:szCs w:val="21"/>
                <w:lang w:val="en-US" w:eastAsia="zh-CN"/>
              </w:rPr>
              <w:t>2</w:t>
            </w:r>
            <w:r>
              <w:rPr>
                <w:rFonts w:hint="eastAsia" w:ascii="宋体" w:cs="宋体"/>
                <w:szCs w:val="21"/>
              </w:rPr>
              <w:t>02</w:t>
            </w:r>
            <w:r>
              <w:rPr>
                <w:rFonts w:hint="eastAsia" w:ascii="宋体" w:cs="宋体"/>
                <w:szCs w:val="21"/>
                <w:lang w:val="en-US" w:eastAsia="zh-CN"/>
              </w:rPr>
              <w:t>3</w:t>
            </w:r>
            <w:r>
              <w:rPr>
                <w:rFonts w:hint="eastAsia" w:ascii="宋体" w:cs="宋体"/>
                <w:szCs w:val="21"/>
              </w:rPr>
              <w:t>年以来我</w:t>
            </w:r>
            <w:r>
              <w:rPr>
                <w:rFonts w:hint="eastAsia" w:ascii="宋体" w:cs="宋体"/>
                <w:szCs w:val="21"/>
                <w:lang w:eastAsia="zh-CN"/>
              </w:rPr>
              <w:t>所</w:t>
            </w:r>
            <w:r>
              <w:rPr>
                <w:rFonts w:hint="eastAsia" w:ascii="宋体" w:cs="宋体"/>
                <w:szCs w:val="21"/>
              </w:rPr>
              <w:t>高度重视绩效管理工作，多措并举，提高绩效管理水平，</w:t>
            </w:r>
            <w:r>
              <w:rPr>
                <w:rFonts w:hint="eastAsia" w:ascii="宋体" w:cs="宋体"/>
                <w:szCs w:val="21"/>
                <w:lang w:eastAsia="zh-CN"/>
              </w:rPr>
              <w:t>对应尽</w:t>
            </w:r>
            <w:r>
              <w:rPr>
                <w:rFonts w:hint="eastAsia" w:ascii="宋体" w:cs="宋体"/>
                <w:szCs w:val="21"/>
              </w:rPr>
              <w:t>职责指标库进行系统的学习。同时将绩效指标制定工作作为一个重点工作来抓，科学合理制定绩效指标，层层压实责任。</w:t>
            </w:r>
          </w:p>
          <w:p>
            <w:pPr>
              <w:keepNext w:val="0"/>
              <w:keepLines w:val="0"/>
              <w:pageBreakBefore w:val="0"/>
              <w:widowControl w:val="0"/>
              <w:kinsoku/>
              <w:wordWrap/>
              <w:overflowPunct/>
              <w:topLinePunct w:val="0"/>
              <w:autoSpaceDE/>
              <w:autoSpaceDN/>
              <w:bidi w:val="0"/>
              <w:adjustRightInd/>
              <w:snapToGrid/>
              <w:spacing w:line="576" w:lineRule="exact"/>
              <w:ind w:right="0" w:rightChars="0"/>
              <w:jc w:val="left"/>
              <w:textAlignment w:val="auto"/>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1384" w:type="dxa"/>
            <w:vMerge w:val="continue"/>
            <w:noWrap w:val="0"/>
            <w:vAlign w:val="top"/>
          </w:tcPr>
          <w:p/>
        </w:tc>
        <w:tc>
          <w:tcPr>
            <w:tcW w:w="1985" w:type="dxa"/>
            <w:noWrap w:val="0"/>
            <w:vAlign w:val="center"/>
          </w:tcPr>
          <w:p>
            <w:pPr>
              <w:spacing w:line="576" w:lineRule="exact"/>
              <w:jc w:val="center"/>
              <w:rPr>
                <w:rFonts w:ascii="宋体" w:cs="宋体"/>
                <w:szCs w:val="21"/>
              </w:rPr>
            </w:pPr>
            <w:r>
              <w:rPr>
                <w:rFonts w:hint="eastAsia" w:ascii="宋体" w:cs="宋体"/>
                <w:szCs w:val="21"/>
              </w:rPr>
              <w:t>其他需要说明问题</w:t>
            </w:r>
          </w:p>
        </w:tc>
        <w:tc>
          <w:tcPr>
            <w:tcW w:w="5670" w:type="dxa"/>
            <w:noWrap w:val="0"/>
            <w:vAlign w:val="center"/>
          </w:tcPr>
          <w:p>
            <w:pPr>
              <w:spacing w:line="576" w:lineRule="exact"/>
              <w:ind w:right="880" w:rightChars="419"/>
              <w:jc w:val="center"/>
              <w:rPr>
                <w:rFonts w:hint="eastAsia" w:ascii="宋体" w:eastAsia="宋体" w:cs="宋体"/>
                <w:szCs w:val="21"/>
                <w:lang w:val="en-US" w:eastAsia="zh-CN"/>
              </w:rPr>
            </w:pPr>
            <w:r>
              <w:rPr>
                <w:rFonts w:hint="eastAsia" w:ascii="宋体" w:cs="宋体"/>
                <w:szCs w:val="21"/>
                <w:lang w:val="en-US" w:eastAsia="zh-CN"/>
              </w:rPr>
              <w:t>无</w:t>
            </w:r>
          </w:p>
        </w:tc>
      </w:tr>
    </w:tbl>
    <w:p>
      <w:pPr>
        <w:widowControl/>
        <w:rPr>
          <w:rFonts w:ascii="宋体" w:cs="宋体"/>
          <w:bCs/>
          <w:kern w:val="0"/>
          <w:sz w:val="32"/>
          <w:szCs w:val="32"/>
        </w:rPr>
      </w:pPr>
    </w:p>
    <w:p>
      <w:pPr>
        <w:pStyle w:val="2"/>
        <w:rPr>
          <w:rFonts w:ascii="宋体" w:cs="宋体"/>
          <w:bCs/>
          <w:kern w:val="0"/>
          <w:sz w:val="32"/>
          <w:szCs w:val="32"/>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widowControl/>
        <w:rPr>
          <w:rFonts w:ascii="宋体" w:cs="宋体"/>
          <w:bCs/>
          <w:kern w:val="0"/>
          <w:sz w:val="32"/>
          <w:szCs w:val="32"/>
        </w:rPr>
      </w:pPr>
    </w:p>
    <w:p>
      <w:pPr>
        <w:widowControl/>
        <w:spacing w:line="480" w:lineRule="exact"/>
        <w:ind w:left="91"/>
        <w:jc w:val="center"/>
        <w:rPr>
          <w:rFonts w:hint="eastAsia" w:ascii="方正小标宋_GBK" w:eastAsia="方正小标宋_GBK" w:cs="方正小标宋_GBK"/>
          <w:kern w:val="0"/>
          <w:sz w:val="36"/>
          <w:szCs w:val="36"/>
        </w:rPr>
      </w:pPr>
    </w:p>
    <w:p>
      <w:pPr>
        <w:widowControl/>
        <w:spacing w:line="480" w:lineRule="exact"/>
        <w:ind w:left="91"/>
        <w:jc w:val="center"/>
        <w:rPr>
          <w:rFonts w:ascii="宋体" w:cs="宋体"/>
          <w:bCs/>
          <w:kern w:val="0"/>
          <w:sz w:val="36"/>
          <w:szCs w:val="36"/>
        </w:rPr>
      </w:pPr>
      <w:r>
        <w:rPr>
          <w:rFonts w:hint="eastAsia" w:ascii="方正小标宋_GBK" w:eastAsia="方正小标宋_GBK" w:cs="方正小标宋_GBK"/>
          <w:kern w:val="0"/>
          <w:sz w:val="36"/>
          <w:szCs w:val="36"/>
        </w:rPr>
        <w:t>部门整体支出绩效评价指标完成情况表</w:t>
      </w:r>
    </w:p>
    <w:tbl>
      <w:tblPr>
        <w:tblStyle w:val="5"/>
        <w:tblW w:w="9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614"/>
        <w:gridCol w:w="889"/>
        <w:gridCol w:w="3265"/>
        <w:gridCol w:w="2278"/>
        <w:gridCol w:w="586"/>
        <w:gridCol w:w="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675" w:type="dxa"/>
            <w:noWrap w:val="0"/>
            <w:vAlign w:val="center"/>
          </w:tcPr>
          <w:p>
            <w:pPr>
              <w:widowControl/>
              <w:spacing w:line="320" w:lineRule="exact"/>
              <w:jc w:val="center"/>
              <w:rPr>
                <w:rFonts w:ascii="宋体" w:cs="宋体"/>
                <w:kern w:val="0"/>
                <w:szCs w:val="21"/>
              </w:rPr>
            </w:pPr>
            <w:r>
              <w:rPr>
                <w:rFonts w:hint="eastAsia" w:ascii="宋体" w:cs="宋体"/>
                <w:kern w:val="0"/>
                <w:szCs w:val="21"/>
              </w:rPr>
              <w:t>一级指标</w:t>
            </w:r>
          </w:p>
        </w:tc>
        <w:tc>
          <w:tcPr>
            <w:tcW w:w="709" w:type="dxa"/>
            <w:noWrap w:val="0"/>
            <w:vAlign w:val="center"/>
          </w:tcPr>
          <w:p>
            <w:pPr>
              <w:widowControl/>
              <w:spacing w:line="320" w:lineRule="exact"/>
              <w:jc w:val="center"/>
              <w:rPr>
                <w:rFonts w:ascii="宋体" w:cs="宋体"/>
                <w:kern w:val="0"/>
                <w:szCs w:val="21"/>
              </w:rPr>
            </w:pPr>
            <w:r>
              <w:rPr>
                <w:rFonts w:hint="eastAsia" w:ascii="宋体" w:cs="宋体"/>
                <w:kern w:val="0"/>
                <w:szCs w:val="21"/>
              </w:rPr>
              <w:t>二级指标</w:t>
            </w:r>
          </w:p>
        </w:tc>
        <w:tc>
          <w:tcPr>
            <w:tcW w:w="614" w:type="dxa"/>
            <w:noWrap w:val="0"/>
            <w:vAlign w:val="center"/>
          </w:tcPr>
          <w:p>
            <w:pPr>
              <w:widowControl/>
              <w:spacing w:line="320" w:lineRule="exact"/>
              <w:jc w:val="center"/>
              <w:rPr>
                <w:rFonts w:ascii="宋体" w:cs="宋体"/>
                <w:kern w:val="0"/>
                <w:szCs w:val="21"/>
              </w:rPr>
            </w:pPr>
            <w:r>
              <w:rPr>
                <w:rFonts w:hint="eastAsia" w:ascii="宋体" w:cs="宋体"/>
                <w:kern w:val="0"/>
                <w:szCs w:val="21"/>
              </w:rPr>
              <w:t>分值</w:t>
            </w: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三级指标</w:t>
            </w:r>
          </w:p>
        </w:tc>
        <w:tc>
          <w:tcPr>
            <w:tcW w:w="3265" w:type="dxa"/>
            <w:noWrap w:val="0"/>
            <w:vAlign w:val="center"/>
          </w:tcPr>
          <w:p>
            <w:pPr>
              <w:widowControl/>
              <w:spacing w:line="320" w:lineRule="exact"/>
              <w:jc w:val="center"/>
              <w:rPr>
                <w:rFonts w:ascii="宋体" w:cs="宋体"/>
                <w:kern w:val="0"/>
                <w:szCs w:val="21"/>
              </w:rPr>
            </w:pPr>
            <w:r>
              <w:rPr>
                <w:rFonts w:hint="eastAsia" w:ascii="宋体" w:cs="宋体"/>
                <w:kern w:val="0"/>
                <w:szCs w:val="21"/>
              </w:rPr>
              <w:t>指标完成情况</w:t>
            </w:r>
          </w:p>
        </w:tc>
        <w:tc>
          <w:tcPr>
            <w:tcW w:w="2278" w:type="dxa"/>
            <w:noWrap w:val="0"/>
            <w:vAlign w:val="center"/>
          </w:tcPr>
          <w:p>
            <w:pPr>
              <w:widowControl/>
              <w:spacing w:line="320" w:lineRule="exact"/>
              <w:jc w:val="center"/>
              <w:rPr>
                <w:rFonts w:ascii="宋体" w:cs="宋体"/>
                <w:kern w:val="0"/>
                <w:szCs w:val="21"/>
              </w:rPr>
            </w:pPr>
            <w:r>
              <w:rPr>
                <w:rFonts w:hint="eastAsia" w:ascii="宋体" w:cs="宋体"/>
                <w:kern w:val="0"/>
                <w:szCs w:val="21"/>
              </w:rPr>
              <w:t>评价标准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分值</w:t>
            </w:r>
          </w:p>
        </w:tc>
        <w:tc>
          <w:tcPr>
            <w:tcW w:w="673" w:type="dxa"/>
            <w:noWrap w:val="0"/>
            <w:vAlign w:val="center"/>
          </w:tcPr>
          <w:p>
            <w:pPr>
              <w:widowControl/>
              <w:spacing w:line="320" w:lineRule="exact"/>
              <w:jc w:val="center"/>
              <w:rPr>
                <w:rFonts w:ascii="宋体" w:cs="宋体"/>
                <w:kern w:val="0"/>
                <w:szCs w:val="21"/>
              </w:rPr>
            </w:pPr>
            <w:r>
              <w:rPr>
                <w:rFonts w:hint="eastAsia" w:ascii="宋体"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675" w:type="dxa"/>
            <w:vMerge w:val="restart"/>
            <w:noWrap w:val="0"/>
            <w:textDirection w:val="tbRlV"/>
            <w:vAlign w:val="center"/>
          </w:tcPr>
          <w:p>
            <w:pPr>
              <w:widowControl/>
              <w:spacing w:line="320" w:lineRule="exact"/>
              <w:jc w:val="center"/>
              <w:rPr>
                <w:rFonts w:ascii="宋体" w:cs="宋体"/>
                <w:kern w:val="0"/>
                <w:szCs w:val="21"/>
              </w:rPr>
            </w:pPr>
            <w:r>
              <w:rPr>
                <w:rFonts w:hint="eastAsia" w:ascii="宋体" w:cs="宋体"/>
                <w:kern w:val="0"/>
                <w:szCs w:val="21"/>
              </w:rPr>
              <w:t>过    程</w:t>
            </w:r>
          </w:p>
        </w:tc>
        <w:tc>
          <w:tcPr>
            <w:tcW w:w="709"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预算执行</w:t>
            </w:r>
          </w:p>
        </w:tc>
        <w:tc>
          <w:tcPr>
            <w:tcW w:w="614"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30</w:t>
            </w: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预算调整率</w:t>
            </w:r>
          </w:p>
        </w:tc>
        <w:tc>
          <w:tcPr>
            <w:tcW w:w="3265" w:type="dxa"/>
            <w:noWrap w:val="0"/>
            <w:vAlign w:val="center"/>
          </w:tcPr>
          <w:p>
            <w:pPr>
              <w:widowControl/>
              <w:spacing w:line="240" w:lineRule="auto"/>
              <w:jc w:val="left"/>
              <w:rPr>
                <w:rFonts w:ascii="宋体" w:cs="宋体"/>
                <w:kern w:val="0"/>
                <w:szCs w:val="21"/>
              </w:rPr>
            </w:pPr>
            <w:r>
              <w:rPr>
                <w:rFonts w:hint="eastAsia" w:ascii="宋体" w:cs="宋体"/>
                <w:kern w:val="0"/>
                <w:szCs w:val="21"/>
              </w:rPr>
              <w:t>预算调整率=</w:t>
            </w:r>
            <w:r>
              <w:rPr>
                <w:rFonts w:hint="eastAsia" w:ascii="宋体" w:cs="宋体"/>
                <w:kern w:val="0"/>
                <w:szCs w:val="21"/>
                <w:lang w:val="en-US" w:eastAsia="zh-CN"/>
              </w:rPr>
              <w:t>0。</w:t>
            </w:r>
            <w:r>
              <w:rPr>
                <w:rFonts w:hint="eastAsia" w:ascii="宋体" w:cs="宋体"/>
                <w:szCs w:val="21"/>
                <w:lang w:val="en-US" w:eastAsia="zh-CN"/>
              </w:rPr>
              <w:t>年中追加220.11万元，其中基本支出追加220.11万元（在职人员绩效奖金111.54万元,2021年绩效考核奖51.50万元，退休人员生活补助29.94万元，调整工资7.8万元，2022年上半年抚恤金3.29万元,增人增资（工资提标）16.04万元。），</w:t>
            </w:r>
            <w:r>
              <w:rPr>
                <w:rFonts w:hint="eastAsia" w:ascii="宋体" w:cs="宋体"/>
                <w:szCs w:val="21"/>
              </w:rPr>
              <w:t>这些预算调整都是因落实国家政策、上级部门或本级党委政府临时交办而产生的调整</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预算调整率=0，计5分；0-10%（含），计4分；10-20%（含），计3分；20-30%（含），计2分；大于30%不得分。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基本支出预算控制率</w:t>
            </w:r>
          </w:p>
        </w:tc>
        <w:tc>
          <w:tcPr>
            <w:tcW w:w="3265" w:type="dxa"/>
            <w:noWrap w:val="0"/>
            <w:vAlign w:val="center"/>
          </w:tcPr>
          <w:p>
            <w:pPr>
              <w:widowControl/>
              <w:spacing w:line="320" w:lineRule="exact"/>
              <w:jc w:val="left"/>
              <w:rPr>
                <w:rFonts w:ascii="宋体" w:cs="宋体"/>
                <w:kern w:val="0"/>
                <w:szCs w:val="21"/>
              </w:rPr>
            </w:pPr>
            <w:r>
              <w:rPr>
                <w:rFonts w:hint="eastAsia" w:ascii="宋体" w:cs="宋体"/>
                <w:kern w:val="0"/>
                <w:szCs w:val="21"/>
                <w:lang w:eastAsia="zh-CN"/>
              </w:rPr>
              <w:t>基本支出收入</w:t>
            </w:r>
            <w:r>
              <w:rPr>
                <w:rFonts w:hint="eastAsia" w:ascii="宋体" w:cs="宋体"/>
                <w:kern w:val="0"/>
                <w:szCs w:val="21"/>
                <w:lang w:val="en-US" w:eastAsia="zh-CN"/>
              </w:rPr>
              <w:t>986.22万元，实际支出986.22万元，</w:t>
            </w:r>
            <w:r>
              <w:rPr>
                <w:rFonts w:hint="eastAsia" w:ascii="宋体" w:cs="宋体"/>
                <w:kern w:val="0"/>
                <w:szCs w:val="21"/>
              </w:rPr>
              <w:t>基本支出预算控制率=100%。</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基本支出预算控制率≦100%，计5分；100-110%（含），计4分；110-120%（含），计3分；120-130%（含），计2分；大于130%不得分。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项目支出预算控制率</w:t>
            </w:r>
          </w:p>
        </w:tc>
        <w:tc>
          <w:tcPr>
            <w:tcW w:w="3265" w:type="dxa"/>
            <w:noWrap w:val="0"/>
            <w:vAlign w:val="center"/>
          </w:tcPr>
          <w:p>
            <w:pPr>
              <w:widowControl/>
              <w:spacing w:line="320" w:lineRule="exact"/>
              <w:jc w:val="left"/>
              <w:rPr>
                <w:rFonts w:ascii="宋体" w:cs="宋体"/>
                <w:kern w:val="0"/>
                <w:szCs w:val="21"/>
              </w:rPr>
            </w:pPr>
            <w:r>
              <w:rPr>
                <w:rFonts w:hint="eastAsia" w:ascii="宋体" w:cs="宋体"/>
                <w:kern w:val="0"/>
                <w:szCs w:val="21"/>
                <w:lang w:eastAsia="zh-CN"/>
              </w:rPr>
              <w:t>项目支出收入</w:t>
            </w:r>
            <w:r>
              <w:rPr>
                <w:rFonts w:hint="eastAsia" w:ascii="宋体" w:cs="宋体"/>
                <w:kern w:val="0"/>
                <w:szCs w:val="21"/>
                <w:lang w:val="en-US" w:eastAsia="zh-CN"/>
              </w:rPr>
              <w:t>174.03万元，实际支出172.95万元，</w:t>
            </w:r>
            <w:r>
              <w:rPr>
                <w:rFonts w:hint="eastAsia" w:ascii="宋体" w:cs="宋体"/>
                <w:kern w:val="0"/>
                <w:szCs w:val="21"/>
              </w:rPr>
              <w:t>项目支出预算控制率=</w:t>
            </w:r>
            <w:r>
              <w:rPr>
                <w:rFonts w:hint="eastAsia" w:ascii="宋体" w:cs="宋体"/>
                <w:kern w:val="0"/>
                <w:szCs w:val="21"/>
                <w:lang w:val="en-US" w:eastAsia="zh-CN"/>
              </w:rPr>
              <w:t>99.38%</w:t>
            </w:r>
            <w:r>
              <w:rPr>
                <w:rFonts w:hint="eastAsia" w:ascii="宋体" w:cs="宋体"/>
                <w:kern w:val="0"/>
                <w:szCs w:val="21"/>
              </w:rPr>
              <w:t>。</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项目支出预算控制率≦100%，计5分；100-110%（含），计4分；110-120%（含），计3分；120-130%（含），计2分；大于130%不得分。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资金结余</w:t>
            </w:r>
          </w:p>
        </w:tc>
        <w:tc>
          <w:tcPr>
            <w:tcW w:w="3265" w:type="dxa"/>
            <w:noWrap w:val="0"/>
            <w:vAlign w:val="center"/>
          </w:tcPr>
          <w:p>
            <w:pPr>
              <w:widowControl/>
              <w:spacing w:line="320" w:lineRule="exact"/>
              <w:jc w:val="left"/>
              <w:rPr>
                <w:rFonts w:hint="eastAsia" w:ascii="宋体" w:eastAsia="宋体" w:cs="宋体"/>
                <w:kern w:val="0"/>
                <w:szCs w:val="21"/>
                <w:lang w:eastAsia="zh-CN"/>
              </w:rPr>
            </w:pPr>
            <w:r>
              <w:rPr>
                <w:rFonts w:hint="eastAsia" w:ascii="宋体" w:cs="宋体"/>
                <w:kern w:val="0"/>
                <w:szCs w:val="21"/>
                <w:lang w:eastAsia="zh-CN"/>
              </w:rPr>
              <w:t>本年项目结转</w:t>
            </w:r>
            <w:r>
              <w:rPr>
                <w:rFonts w:hint="eastAsia" w:ascii="宋体" w:cs="宋体"/>
                <w:kern w:val="0"/>
                <w:szCs w:val="21"/>
                <w:lang w:val="en-US" w:eastAsia="zh-CN"/>
              </w:rPr>
              <w:t>13.61万元</w:t>
            </w:r>
            <w:r>
              <w:rPr>
                <w:rFonts w:hint="eastAsia" w:ascii="宋体" w:cs="宋体"/>
                <w:kern w:val="0"/>
                <w:szCs w:val="21"/>
                <w:lang w:eastAsia="zh-CN"/>
              </w:rPr>
              <w:t>，无结余资金</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无结余，5分；有结余，但不超过上年结余，3分；结余超过上年结余，不得分。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widowControl/>
              <w:spacing w:line="320" w:lineRule="exact"/>
              <w:jc w:val="left"/>
              <w:rPr>
                <w:rFonts w:hint="eastAsia" w:ascii="宋体" w:eastAsia="宋体" w:cs="宋体"/>
                <w:kern w:val="0"/>
                <w:szCs w:val="21"/>
                <w:lang w:eastAsia="zh-CN"/>
              </w:rPr>
            </w:pPr>
            <w:r>
              <w:rPr>
                <w:rFonts w:hint="eastAsia" w:ascii="宋体" w:cs="宋体"/>
                <w:kern w:val="0"/>
                <w:szCs w:val="21"/>
                <w:lang w:eastAsia="zh-CN"/>
              </w:rPr>
              <w:t>分项目核算结转</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是否分项目核算结余结转，是，5分；否，0分。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“三公经费”控制率</w:t>
            </w:r>
          </w:p>
        </w:tc>
        <w:tc>
          <w:tcPr>
            <w:tcW w:w="3265" w:type="dxa"/>
            <w:noWrap w:val="0"/>
            <w:vAlign w:val="center"/>
          </w:tcPr>
          <w:p>
            <w:pPr>
              <w:widowControl/>
              <w:spacing w:line="320" w:lineRule="exact"/>
              <w:jc w:val="left"/>
              <w:rPr>
                <w:rFonts w:ascii="宋体" w:cs="宋体"/>
                <w:kern w:val="0"/>
                <w:szCs w:val="21"/>
              </w:rPr>
            </w:pPr>
            <w:r>
              <w:rPr>
                <w:rFonts w:hint="eastAsia" w:ascii="宋体" w:cs="宋体"/>
                <w:szCs w:val="21"/>
                <w:lang w:eastAsia="zh-CN"/>
              </w:rPr>
              <w:t>202</w:t>
            </w:r>
            <w:r>
              <w:rPr>
                <w:rFonts w:hint="eastAsia" w:ascii="宋体" w:cs="宋体"/>
                <w:szCs w:val="21"/>
                <w:lang w:val="en-US" w:eastAsia="zh-CN"/>
              </w:rPr>
              <w:t>2</w:t>
            </w:r>
            <w:r>
              <w:rPr>
                <w:rFonts w:hint="eastAsia" w:ascii="宋体" w:cs="宋体"/>
                <w:szCs w:val="21"/>
                <w:lang w:eastAsia="zh-CN"/>
              </w:rPr>
              <w:t>年</w:t>
            </w:r>
            <w:r>
              <w:rPr>
                <w:rFonts w:hint="eastAsia" w:ascii="宋体" w:cs="宋体"/>
                <w:szCs w:val="21"/>
              </w:rPr>
              <w:t>“三公”经费预算数为</w:t>
            </w:r>
            <w:r>
              <w:rPr>
                <w:rFonts w:hint="eastAsia" w:ascii="宋体" w:cs="宋体"/>
                <w:szCs w:val="21"/>
                <w:lang w:val="en-US" w:eastAsia="zh-CN"/>
              </w:rPr>
              <w:t>16.23</w:t>
            </w:r>
            <w:r>
              <w:rPr>
                <w:rFonts w:hint="eastAsia" w:ascii="宋体" w:cs="宋体"/>
                <w:szCs w:val="21"/>
              </w:rPr>
              <w:t xml:space="preserve"> 万元，全年开支</w:t>
            </w:r>
            <w:r>
              <w:rPr>
                <w:rFonts w:hint="eastAsia" w:ascii="宋体" w:cs="宋体"/>
                <w:szCs w:val="21"/>
                <w:lang w:val="en-US" w:eastAsia="zh-CN"/>
              </w:rPr>
              <w:t>9.56</w:t>
            </w:r>
            <w:r>
              <w:rPr>
                <w:rFonts w:hint="eastAsia" w:ascii="宋体" w:cs="宋体"/>
                <w:szCs w:val="21"/>
              </w:rPr>
              <w:t>万元，</w:t>
            </w:r>
            <w:r>
              <w:rPr>
                <w:rFonts w:hint="eastAsia" w:ascii="宋体" w:cs="宋体"/>
                <w:kern w:val="0"/>
                <w:szCs w:val="21"/>
              </w:rPr>
              <w:t>“三公经费”控制率=</w:t>
            </w:r>
            <w:r>
              <w:rPr>
                <w:rFonts w:hint="eastAsia" w:ascii="宋体" w:cs="宋体"/>
                <w:kern w:val="0"/>
                <w:szCs w:val="21"/>
                <w:lang w:val="en-US" w:eastAsia="zh-CN"/>
              </w:rPr>
              <w:t>58.9%</w:t>
            </w:r>
            <w:r>
              <w:rPr>
                <w:rFonts w:hint="eastAsia" w:ascii="宋体" w:cs="宋体"/>
                <w:kern w:val="0"/>
                <w:szCs w:val="21"/>
              </w:rPr>
              <w:t>。</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以100%为标准。三公经费控制率≦100%，计5分；每超过一个百分点扣1分，扣完为止。</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noWrap w:val="0"/>
            <w:textDirection w:val="tbRlV"/>
            <w:vAlign w:val="center"/>
          </w:tcPr>
          <w:p/>
        </w:tc>
        <w:tc>
          <w:tcPr>
            <w:tcW w:w="709" w:type="dxa"/>
            <w:vMerge w:val="restart"/>
            <w:noWrap w:val="0"/>
            <w:vAlign w:val="center"/>
          </w:tcPr>
          <w:p>
            <w:pPr>
              <w:widowControl/>
              <w:spacing w:line="320" w:lineRule="exact"/>
              <w:jc w:val="left"/>
              <w:rPr>
                <w:rFonts w:ascii="宋体" w:cs="宋体"/>
                <w:kern w:val="0"/>
                <w:szCs w:val="21"/>
              </w:rPr>
            </w:pPr>
            <w:r>
              <w:rPr>
                <w:rFonts w:hint="eastAsia" w:ascii="宋体" w:cs="宋体"/>
                <w:kern w:val="0"/>
                <w:szCs w:val="21"/>
              </w:rPr>
              <w:t>预算管理</w:t>
            </w:r>
          </w:p>
        </w:tc>
        <w:tc>
          <w:tcPr>
            <w:tcW w:w="614"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20</w:t>
            </w: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管理制度健全性</w:t>
            </w:r>
          </w:p>
        </w:tc>
        <w:tc>
          <w:tcPr>
            <w:tcW w:w="3265" w:type="dxa"/>
            <w:noWrap w:val="0"/>
            <w:vAlign w:val="center"/>
          </w:tcPr>
          <w:p>
            <w:pPr>
              <w:widowControl/>
              <w:spacing w:line="320" w:lineRule="exact"/>
              <w:jc w:val="left"/>
              <w:rPr>
                <w:rFonts w:hint="eastAsia" w:ascii="宋体" w:eastAsia="宋体" w:cs="宋体"/>
                <w:kern w:val="0"/>
                <w:szCs w:val="21"/>
                <w:lang w:eastAsia="zh-CN"/>
              </w:rPr>
            </w:pPr>
            <w:r>
              <w:rPr>
                <w:rFonts w:hint="eastAsia" w:ascii="宋体" w:cs="宋体"/>
                <w:kern w:val="0"/>
                <w:szCs w:val="21"/>
              </w:rPr>
              <w:t>　</w:t>
            </w:r>
            <w:r>
              <w:rPr>
                <w:rFonts w:hint="eastAsia" w:ascii="宋体" w:cs="宋体"/>
                <w:kern w:val="0"/>
                <w:szCs w:val="21"/>
                <w:lang w:eastAsia="zh-CN"/>
              </w:rPr>
              <w:t>制定了</w:t>
            </w:r>
            <w:r>
              <w:rPr>
                <w:rFonts w:hint="eastAsia" w:ascii="宋体" w:cs="宋体"/>
                <w:kern w:val="0"/>
                <w:szCs w:val="21"/>
              </w:rPr>
              <w:t>预算资金管理办法，</w:t>
            </w:r>
            <w:r>
              <w:rPr>
                <w:rFonts w:hint="eastAsia" w:ascii="宋体" w:cs="宋体"/>
                <w:kern w:val="0"/>
                <w:szCs w:val="21"/>
                <w:lang w:eastAsia="zh-CN"/>
              </w:rPr>
              <w:t>湘潭市计量测试检定所</w:t>
            </w:r>
            <w:r>
              <w:rPr>
                <w:rFonts w:hint="eastAsia" w:ascii="宋体" w:cs="宋体"/>
                <w:kern w:val="0"/>
                <w:szCs w:val="21"/>
              </w:rPr>
              <w:t>财务管理制度、会计核算制度</w:t>
            </w:r>
            <w:r>
              <w:rPr>
                <w:rFonts w:hint="eastAsia" w:ascii="宋体" w:cs="宋体"/>
                <w:kern w:val="0"/>
                <w:szCs w:val="21"/>
                <w:lang w:eastAsia="zh-CN"/>
              </w:rPr>
              <w:t>，制度</w:t>
            </w:r>
            <w:r>
              <w:rPr>
                <w:rFonts w:hint="eastAsia" w:ascii="宋体" w:cs="宋体"/>
                <w:kern w:val="0"/>
                <w:szCs w:val="21"/>
              </w:rPr>
              <w:t>合法、合规、完整</w:t>
            </w:r>
            <w:r>
              <w:rPr>
                <w:rFonts w:hint="eastAsia" w:ascii="宋体" w:cs="宋体"/>
                <w:kern w:val="0"/>
                <w:szCs w:val="21"/>
                <w:lang w:eastAsia="zh-CN"/>
              </w:rPr>
              <w:t>。</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①已制定或具有预算资金管理办法，内部财务管理制度、会计核算制度等管理制度，3分；②相关管理制度合法、合规、完整，2分。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专账核算</w:t>
            </w:r>
          </w:p>
        </w:tc>
        <w:tc>
          <w:tcPr>
            <w:tcW w:w="3265" w:type="dxa"/>
            <w:noWrap w:val="0"/>
            <w:vAlign w:val="center"/>
          </w:tcPr>
          <w:p>
            <w:pPr>
              <w:widowControl/>
              <w:spacing w:line="320" w:lineRule="exact"/>
              <w:jc w:val="left"/>
              <w:rPr>
                <w:rFonts w:ascii="宋体" w:cs="宋体"/>
                <w:kern w:val="0"/>
                <w:szCs w:val="21"/>
              </w:rPr>
            </w:pPr>
            <w:r>
              <w:rPr>
                <w:rFonts w:hint="eastAsia" w:ascii="宋体" w:cs="宋体"/>
                <w:kern w:val="0"/>
                <w:szCs w:val="21"/>
              </w:rPr>
              <w:t>项目支出是分项目单独核算</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项目支出是否分项目单独核算，是5；否，0分。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预决算信息公开性和完善性</w:t>
            </w:r>
          </w:p>
        </w:tc>
        <w:tc>
          <w:tcPr>
            <w:tcW w:w="3265" w:type="dxa"/>
            <w:noWrap w:val="0"/>
            <w:vAlign w:val="center"/>
          </w:tcPr>
          <w:p>
            <w:pPr>
              <w:widowControl/>
              <w:spacing w:line="320" w:lineRule="exact"/>
              <w:jc w:val="left"/>
              <w:rPr>
                <w:rFonts w:ascii="宋体" w:cs="宋体"/>
                <w:kern w:val="0"/>
                <w:szCs w:val="21"/>
              </w:rPr>
            </w:pPr>
            <w:r>
              <w:rPr>
                <w:rFonts w:hint="eastAsia" w:ascii="宋体" w:cs="宋体"/>
                <w:kern w:val="0"/>
                <w:szCs w:val="21"/>
              </w:rPr>
              <w:t>预决算信息按规定内容</w:t>
            </w:r>
            <w:r>
              <w:rPr>
                <w:rFonts w:hint="eastAsia" w:ascii="宋体" w:cs="宋体"/>
                <w:kern w:val="0"/>
                <w:szCs w:val="21"/>
                <w:lang w:eastAsia="zh-CN"/>
              </w:rPr>
              <w:t>在</w:t>
            </w:r>
            <w:r>
              <w:rPr>
                <w:rFonts w:hint="eastAsia" w:ascii="宋体" w:cs="宋体"/>
                <w:kern w:val="0"/>
                <w:szCs w:val="21"/>
              </w:rPr>
              <w:t>规定时限</w:t>
            </w:r>
            <w:r>
              <w:rPr>
                <w:rFonts w:hint="eastAsia" w:ascii="宋体" w:cs="宋体"/>
                <w:kern w:val="0"/>
                <w:szCs w:val="21"/>
                <w:lang w:eastAsia="zh-CN"/>
              </w:rPr>
              <w:t>内</w:t>
            </w:r>
            <w:r>
              <w:rPr>
                <w:rFonts w:hint="eastAsia" w:ascii="宋体" w:cs="宋体"/>
                <w:kern w:val="0"/>
                <w:szCs w:val="21"/>
              </w:rPr>
              <w:t xml:space="preserve">公开。                                            </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 xml:space="preserve">①按规定内容公开预决算信息，3分；②按规定时限公开预决算信息，2分。                                            </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75" w:type="dxa"/>
            <w:vMerge w:val="continue"/>
            <w:noWrap w:val="0"/>
            <w:vAlign w:val="center"/>
          </w:tcPr>
          <w:p/>
        </w:tc>
        <w:tc>
          <w:tcPr>
            <w:tcW w:w="709" w:type="dxa"/>
            <w:vMerge w:val="continue"/>
            <w:noWrap w:val="0"/>
            <w:vAlign w:val="center"/>
          </w:tcPr>
          <w:p/>
        </w:tc>
        <w:tc>
          <w:tcPr>
            <w:tcW w:w="614" w:type="dxa"/>
            <w:vMerge w:val="continue"/>
            <w:noWrap w:val="0"/>
            <w:vAlign w:val="center"/>
          </w:tcP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政府采购完成情况</w:t>
            </w:r>
          </w:p>
        </w:tc>
        <w:tc>
          <w:tcPr>
            <w:tcW w:w="3265" w:type="dxa"/>
            <w:noWrap w:val="0"/>
            <w:vAlign w:val="center"/>
          </w:tcPr>
          <w:p>
            <w:pPr>
              <w:widowControl/>
              <w:spacing w:line="320" w:lineRule="exact"/>
              <w:jc w:val="left"/>
              <w:rPr>
                <w:rFonts w:hint="eastAsia" w:ascii="宋体" w:eastAsia="宋体" w:cs="宋体"/>
                <w:kern w:val="0"/>
                <w:szCs w:val="21"/>
                <w:lang w:eastAsia="zh-CN"/>
              </w:rPr>
            </w:pPr>
            <w:r>
              <w:rPr>
                <w:rFonts w:hint="eastAsia" w:ascii="宋体" w:cs="宋体"/>
                <w:kern w:val="0"/>
                <w:szCs w:val="21"/>
              </w:rPr>
              <w:t>达到政府采购要求的</w:t>
            </w:r>
            <w:r>
              <w:rPr>
                <w:rFonts w:hint="eastAsia" w:ascii="宋体" w:cs="宋体"/>
                <w:kern w:val="0"/>
                <w:szCs w:val="21"/>
                <w:lang w:eastAsia="zh-CN"/>
              </w:rPr>
              <w:t>都进行了政府采购。</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达到政府采购要求的是否进行了政府采购，是，5分；否，0分。</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675" w:type="dxa"/>
            <w:vMerge w:val="continue"/>
            <w:noWrap w:val="0"/>
            <w:vAlign w:val="center"/>
          </w:tcPr>
          <w:p/>
        </w:tc>
        <w:tc>
          <w:tcPr>
            <w:tcW w:w="709" w:type="dxa"/>
            <w:noWrap w:val="0"/>
            <w:vAlign w:val="center"/>
          </w:tcPr>
          <w:p>
            <w:pPr>
              <w:widowControl/>
              <w:spacing w:line="320" w:lineRule="exact"/>
              <w:jc w:val="center"/>
              <w:rPr>
                <w:rFonts w:ascii="宋体" w:cs="宋体"/>
                <w:kern w:val="0"/>
                <w:szCs w:val="21"/>
              </w:rPr>
            </w:pPr>
            <w:r>
              <w:rPr>
                <w:rFonts w:hint="eastAsia" w:ascii="宋体" w:cs="宋体"/>
                <w:kern w:val="0"/>
                <w:szCs w:val="21"/>
              </w:rPr>
              <w:t>资产管理</w:t>
            </w:r>
          </w:p>
        </w:tc>
        <w:tc>
          <w:tcPr>
            <w:tcW w:w="614"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889" w:type="dxa"/>
            <w:noWrap w:val="0"/>
            <w:vAlign w:val="center"/>
          </w:tcPr>
          <w:p>
            <w:pPr>
              <w:widowControl/>
              <w:spacing w:line="320" w:lineRule="exact"/>
              <w:jc w:val="center"/>
              <w:rPr>
                <w:rFonts w:ascii="宋体" w:cs="宋体"/>
                <w:kern w:val="0"/>
                <w:szCs w:val="21"/>
              </w:rPr>
            </w:pPr>
            <w:r>
              <w:rPr>
                <w:rFonts w:hint="eastAsia" w:ascii="宋体" w:cs="宋体"/>
                <w:kern w:val="0"/>
                <w:szCs w:val="21"/>
              </w:rPr>
              <w:t>管理制度健全性</w:t>
            </w:r>
          </w:p>
        </w:tc>
        <w:tc>
          <w:tcPr>
            <w:tcW w:w="3265" w:type="dxa"/>
            <w:noWrap w:val="0"/>
            <w:vAlign w:val="center"/>
          </w:tcPr>
          <w:p>
            <w:pPr>
              <w:widowControl/>
              <w:spacing w:line="320" w:lineRule="exact"/>
              <w:jc w:val="left"/>
              <w:rPr>
                <w:rFonts w:ascii="宋体" w:cs="宋体"/>
                <w:kern w:val="0"/>
                <w:szCs w:val="21"/>
              </w:rPr>
            </w:pPr>
            <w:r>
              <w:rPr>
                <w:rFonts w:hint="eastAsia" w:ascii="宋体" w:cs="宋体"/>
                <w:kern w:val="0"/>
                <w:szCs w:val="21"/>
                <w:lang w:eastAsia="zh-CN"/>
              </w:rPr>
              <w:t>制定了湘潭市计量测试检定所</w:t>
            </w:r>
            <w:r>
              <w:rPr>
                <w:rFonts w:hint="eastAsia" w:ascii="宋体" w:cs="宋体"/>
                <w:kern w:val="0"/>
                <w:szCs w:val="21"/>
              </w:rPr>
              <w:t>资产管理制度</w:t>
            </w:r>
            <w:r>
              <w:rPr>
                <w:rFonts w:hint="eastAsia" w:ascii="宋体" w:cs="宋体"/>
                <w:kern w:val="0"/>
                <w:szCs w:val="21"/>
                <w:lang w:eastAsia="zh-CN"/>
              </w:rPr>
              <w:t>，制度</w:t>
            </w:r>
            <w:r>
              <w:rPr>
                <w:rFonts w:hint="eastAsia" w:ascii="宋体" w:cs="宋体"/>
                <w:kern w:val="0"/>
                <w:szCs w:val="21"/>
              </w:rPr>
              <w:t>合法、合规、完整</w:t>
            </w:r>
            <w:r>
              <w:rPr>
                <w:rFonts w:hint="eastAsia" w:ascii="宋体" w:cs="宋体"/>
                <w:kern w:val="0"/>
                <w:szCs w:val="21"/>
                <w:lang w:eastAsia="zh-CN"/>
              </w:rPr>
              <w:t>。</w:t>
            </w:r>
          </w:p>
        </w:tc>
        <w:tc>
          <w:tcPr>
            <w:tcW w:w="2278" w:type="dxa"/>
            <w:noWrap w:val="0"/>
            <w:vAlign w:val="center"/>
          </w:tcPr>
          <w:p>
            <w:pPr>
              <w:widowControl/>
              <w:spacing w:line="320" w:lineRule="exact"/>
              <w:jc w:val="left"/>
              <w:rPr>
                <w:rFonts w:ascii="宋体" w:cs="宋体"/>
                <w:kern w:val="0"/>
                <w:szCs w:val="21"/>
              </w:rPr>
            </w:pPr>
            <w:r>
              <w:rPr>
                <w:rFonts w:hint="eastAsia" w:ascii="宋体" w:cs="宋体"/>
                <w:kern w:val="0"/>
                <w:szCs w:val="21"/>
              </w:rPr>
              <w:t xml:space="preserve">①已制定或具有资产管理制度，3分；②相关资产管理制度合法、合规、完整，2分；。                                           </w:t>
            </w:r>
          </w:p>
        </w:tc>
        <w:tc>
          <w:tcPr>
            <w:tcW w:w="586" w:type="dxa"/>
            <w:noWrap w:val="0"/>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673" w:type="dxa"/>
            <w:noWrap w:val="0"/>
            <w:vAlign w:val="center"/>
          </w:tcPr>
          <w:p>
            <w:pPr>
              <w:widowControl/>
              <w:spacing w:line="320" w:lineRule="exact"/>
              <w:jc w:val="center"/>
              <w:rPr>
                <w:rFonts w:hint="eastAsia"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5" w:type="dxa"/>
            <w:vMerge w:val="restart"/>
            <w:noWrap w:val="0"/>
            <w:textDirection w:val="tbRlV"/>
            <w:vAlign w:val="center"/>
          </w:tcPr>
          <w:p>
            <w:pPr>
              <w:widowControl/>
              <w:spacing w:line="320" w:lineRule="exact"/>
              <w:jc w:val="center"/>
              <w:rPr>
                <w:rFonts w:ascii="宋体" w:cs="宋体"/>
                <w:kern w:val="0"/>
                <w:szCs w:val="21"/>
              </w:rPr>
            </w:pPr>
            <w:r>
              <w:rPr>
                <w:rFonts w:hint="eastAsia" w:ascii="宋体" w:cs="宋体"/>
                <w:kern w:val="0"/>
                <w:szCs w:val="21"/>
              </w:rPr>
              <w:t>产   出</w:t>
            </w:r>
          </w:p>
          <w:p>
            <w:pPr>
              <w:spacing w:line="320" w:lineRule="exact"/>
              <w:jc w:val="center"/>
              <w:rPr>
                <w:rFonts w:ascii="宋体" w:cs="宋体"/>
                <w:kern w:val="0"/>
                <w:szCs w:val="21"/>
              </w:rPr>
            </w:pPr>
            <w:r>
              <w:rPr>
                <w:rFonts w:hint="eastAsia" w:ascii="宋体" w:cs="宋体"/>
                <w:kern w:val="0"/>
                <w:szCs w:val="21"/>
              </w:rPr>
              <w:t>效   果</w:t>
            </w:r>
          </w:p>
        </w:tc>
        <w:tc>
          <w:tcPr>
            <w:tcW w:w="709"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职责 履行</w:t>
            </w:r>
          </w:p>
        </w:tc>
        <w:tc>
          <w:tcPr>
            <w:tcW w:w="614"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45</w:t>
            </w:r>
          </w:p>
        </w:tc>
        <w:tc>
          <w:tcPr>
            <w:tcW w:w="889"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绩效目标完成情况</w:t>
            </w:r>
          </w:p>
        </w:tc>
        <w:tc>
          <w:tcPr>
            <w:tcW w:w="3265" w:type="dxa"/>
            <w:noWrap w:val="0"/>
            <w:vAlign w:val="center"/>
          </w:tcPr>
          <w:p>
            <w:pPr>
              <w:widowControl/>
              <w:spacing w:line="320" w:lineRule="exact"/>
              <w:jc w:val="left"/>
              <w:rPr>
                <w:rFonts w:ascii="宋体" w:cs="宋体"/>
                <w:kern w:val="0"/>
                <w:szCs w:val="21"/>
              </w:rPr>
            </w:pPr>
            <w:r>
              <w:rPr>
                <w:rFonts w:hint="eastAsia" w:ascii="宋体" w:cs="宋体"/>
                <w:kern w:val="0"/>
                <w:szCs w:val="21"/>
              </w:rPr>
              <w:t>集贸市场衡器检定</w:t>
            </w:r>
            <w:r>
              <w:rPr>
                <w:rFonts w:hint="eastAsia" w:ascii="宋体" w:cs="宋体"/>
                <w:kern w:val="0"/>
                <w:szCs w:val="21"/>
                <w:lang w:val="en-US" w:eastAsia="zh-CN"/>
              </w:rPr>
              <w:t>3208</w:t>
            </w:r>
            <w:r>
              <w:rPr>
                <w:rFonts w:hint="eastAsia" w:ascii="宋体" w:cs="宋体"/>
                <w:kern w:val="0"/>
                <w:szCs w:val="21"/>
              </w:rPr>
              <w:t>台/件</w:t>
            </w:r>
          </w:p>
        </w:tc>
        <w:tc>
          <w:tcPr>
            <w:tcW w:w="2278" w:type="dxa"/>
            <w:noWrap w:val="0"/>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eastAsia="zh-CN"/>
              </w:rPr>
              <w:t>完成</w:t>
            </w:r>
            <w:r>
              <w:rPr>
                <w:rFonts w:hint="eastAsia" w:ascii="宋体" w:cs="宋体"/>
                <w:kern w:val="0"/>
                <w:szCs w:val="21"/>
              </w:rPr>
              <w:t>集贸市场衡器检定</w:t>
            </w:r>
            <w:r>
              <w:rPr>
                <w:rFonts w:hint="eastAsia" w:ascii="宋体" w:cs="宋体"/>
                <w:kern w:val="0"/>
                <w:szCs w:val="21"/>
                <w:lang w:val="en-US" w:eastAsia="zh-CN"/>
              </w:rPr>
              <w:t>3200台次得3.5分，每减少10%扣0.5分，扣完即止</w:t>
            </w:r>
          </w:p>
        </w:tc>
        <w:tc>
          <w:tcPr>
            <w:tcW w:w="586" w:type="dxa"/>
            <w:noWrap w:val="0"/>
            <w:vAlign w:val="center"/>
          </w:tcPr>
          <w:p>
            <w:pPr>
              <w:widowControl/>
              <w:spacing w:line="320" w:lineRule="exact"/>
              <w:jc w:val="center"/>
              <w:rPr>
                <w:rFonts w:hint="default" w:ascii="宋体" w:eastAsia="宋体" w:cs="宋体"/>
                <w:kern w:val="0"/>
                <w:szCs w:val="21"/>
                <w:lang w:val="en-US" w:eastAsia="zh-CN"/>
              </w:rPr>
            </w:pPr>
            <w:r>
              <w:rPr>
                <w:rFonts w:hint="eastAsia" w:ascii="宋体" w:cs="宋体"/>
                <w:kern w:val="0"/>
                <w:szCs w:val="21"/>
                <w:lang w:val="en-US" w:eastAsia="zh-CN"/>
              </w:rPr>
              <w:t>3.5</w:t>
            </w:r>
          </w:p>
        </w:tc>
        <w:tc>
          <w:tcPr>
            <w:tcW w:w="673" w:type="dxa"/>
            <w:noWrap w:val="0"/>
            <w:vAlign w:val="center"/>
          </w:tcPr>
          <w:p>
            <w:pPr>
              <w:widowControl/>
              <w:spacing w:line="320" w:lineRule="exact"/>
              <w:jc w:val="center"/>
              <w:rPr>
                <w:rFonts w:hint="default" w:ascii="宋体" w:eastAsia="宋体" w:cs="宋体"/>
                <w:kern w:val="0"/>
                <w:szCs w:val="21"/>
                <w:lang w:val="en-US" w:eastAsia="zh-CN"/>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5" w:type="dxa"/>
            <w:vMerge w:val="continue"/>
            <w:noWrap w:val="0"/>
            <w:textDirection w:val="tbRlV"/>
            <w:vAlign w:val="center"/>
          </w:tcPr>
          <w:p>
            <w:pPr>
              <w:widowControl/>
              <w:spacing w:line="320" w:lineRule="exact"/>
              <w:jc w:val="left"/>
            </w:pPr>
          </w:p>
        </w:tc>
        <w:tc>
          <w:tcPr>
            <w:tcW w:w="709" w:type="dxa"/>
            <w:vMerge w:val="continue"/>
            <w:noWrap w:val="0"/>
            <w:vAlign w:val="center"/>
          </w:tcPr>
          <w:p>
            <w:pPr>
              <w:widowControl/>
              <w:spacing w:line="320" w:lineRule="exact"/>
              <w:jc w:val="left"/>
            </w:pPr>
          </w:p>
        </w:tc>
        <w:tc>
          <w:tcPr>
            <w:tcW w:w="614" w:type="dxa"/>
            <w:vMerge w:val="continue"/>
            <w:noWrap w:val="0"/>
            <w:vAlign w:val="center"/>
          </w:tcPr>
          <w:p>
            <w:pPr>
              <w:widowControl/>
              <w:spacing w:line="320" w:lineRule="exact"/>
              <w:jc w:val="left"/>
            </w:pPr>
          </w:p>
        </w:tc>
        <w:tc>
          <w:tcPr>
            <w:tcW w:w="889" w:type="dxa"/>
            <w:vMerge w:val="continue"/>
            <w:noWrap w:val="0"/>
            <w:vAlign w:val="center"/>
          </w:tcPr>
          <w:p>
            <w:pPr>
              <w:widowControl/>
              <w:spacing w:line="320" w:lineRule="exact"/>
              <w:jc w:val="left"/>
            </w:pPr>
          </w:p>
        </w:tc>
        <w:tc>
          <w:tcPr>
            <w:tcW w:w="3265" w:type="dxa"/>
            <w:noWrap w:val="0"/>
            <w:vAlign w:val="center"/>
          </w:tcPr>
          <w:p>
            <w:pPr>
              <w:widowControl/>
              <w:spacing w:line="320" w:lineRule="exact"/>
              <w:jc w:val="left"/>
              <w:rPr>
                <w:rFonts w:hint="eastAsia" w:ascii="宋体" w:eastAsia="宋体" w:cs="宋体"/>
                <w:kern w:val="0"/>
                <w:szCs w:val="21"/>
                <w:highlight w:val="none"/>
                <w:lang w:eastAsia="zh-CN"/>
              </w:rPr>
            </w:pPr>
            <w:r>
              <w:rPr>
                <w:rFonts w:hint="eastAsia" w:ascii="宋体" w:cs="宋体"/>
                <w:kern w:val="0"/>
                <w:szCs w:val="21"/>
                <w:highlight w:val="none"/>
              </w:rPr>
              <w:t>监督抽检水、电、气三表</w:t>
            </w:r>
            <w:r>
              <w:rPr>
                <w:rFonts w:hint="eastAsia" w:ascii="宋体" w:cs="宋体"/>
                <w:kern w:val="0"/>
                <w:szCs w:val="21"/>
                <w:highlight w:val="none"/>
                <w:lang w:eastAsia="zh-CN"/>
              </w:rPr>
              <w:t>按省局计划完成</w:t>
            </w:r>
          </w:p>
        </w:tc>
        <w:tc>
          <w:tcPr>
            <w:tcW w:w="2278" w:type="dxa"/>
            <w:noWrap w:val="0"/>
            <w:vAlign w:val="center"/>
          </w:tcPr>
          <w:p>
            <w:pPr>
              <w:widowControl/>
              <w:spacing w:line="320" w:lineRule="exact"/>
              <w:jc w:val="left"/>
              <w:rPr>
                <w:rFonts w:hint="default" w:ascii="宋体" w:eastAsia="宋体" w:cs="宋体"/>
                <w:kern w:val="0"/>
                <w:szCs w:val="21"/>
                <w:highlight w:val="none"/>
                <w:lang w:val="en-US" w:eastAsia="zh-CN"/>
              </w:rPr>
            </w:pPr>
            <w:r>
              <w:rPr>
                <w:rFonts w:hint="eastAsia" w:ascii="宋体" w:cs="宋体"/>
                <w:kern w:val="0"/>
                <w:szCs w:val="21"/>
                <w:highlight w:val="none"/>
                <w:lang w:eastAsia="zh-CN"/>
              </w:rPr>
              <w:t>完成省局安排的计划任务</w:t>
            </w:r>
            <w:r>
              <w:rPr>
                <w:rFonts w:hint="eastAsia" w:ascii="宋体" w:cs="宋体"/>
                <w:kern w:val="0"/>
                <w:szCs w:val="21"/>
                <w:highlight w:val="none"/>
                <w:lang w:val="en-US" w:eastAsia="zh-CN"/>
              </w:rPr>
              <w:t>得3.5分，每减少10%扣0.5分，扣完即止</w:t>
            </w:r>
          </w:p>
        </w:tc>
        <w:tc>
          <w:tcPr>
            <w:tcW w:w="586" w:type="dxa"/>
            <w:noWrap w:val="0"/>
            <w:vAlign w:val="center"/>
          </w:tcPr>
          <w:p>
            <w:pPr>
              <w:widowControl/>
              <w:spacing w:line="320" w:lineRule="exact"/>
              <w:jc w:val="left"/>
              <w:rPr>
                <w:rFonts w:ascii="宋体" w:cs="宋体"/>
                <w:kern w:val="0"/>
                <w:szCs w:val="21"/>
                <w:highlight w:val="none"/>
              </w:rPr>
            </w:pPr>
            <w:r>
              <w:rPr>
                <w:rFonts w:hint="eastAsia" w:ascii="宋体" w:cs="宋体"/>
                <w:kern w:val="0"/>
                <w:szCs w:val="21"/>
                <w:highlight w:val="none"/>
                <w:lang w:val="en-US" w:eastAsia="zh-CN"/>
              </w:rPr>
              <w:t>3.5</w:t>
            </w:r>
          </w:p>
        </w:tc>
        <w:tc>
          <w:tcPr>
            <w:tcW w:w="673" w:type="dxa"/>
            <w:noWrap w:val="0"/>
            <w:vAlign w:val="center"/>
          </w:tcPr>
          <w:p>
            <w:pPr>
              <w:widowControl/>
              <w:spacing w:line="320" w:lineRule="exact"/>
              <w:jc w:val="center"/>
              <w:rPr>
                <w:rFonts w:hint="default" w:ascii="宋体" w:eastAsia="宋体" w:cs="宋体"/>
                <w:kern w:val="0"/>
                <w:szCs w:val="21"/>
                <w:highlight w:val="none"/>
                <w:lang w:val="en-US" w:eastAsia="zh-CN"/>
              </w:rPr>
            </w:pPr>
            <w:r>
              <w:rPr>
                <w:rFonts w:hint="eastAsia" w:ascii="宋体" w:cs="宋体"/>
                <w:kern w:val="0"/>
                <w:szCs w:val="21"/>
                <w:highlight w:val="no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5" w:type="dxa"/>
            <w:vMerge w:val="continue"/>
            <w:noWrap w:val="0"/>
            <w:textDirection w:val="tbRlV"/>
            <w:vAlign w:val="center"/>
          </w:tcPr>
          <w:p>
            <w:pPr>
              <w:widowControl/>
              <w:spacing w:line="320" w:lineRule="exact"/>
              <w:jc w:val="left"/>
              <w:rPr>
                <w:rFonts w:ascii="宋体" w:cs="宋体"/>
                <w:kern w:val="0"/>
                <w:szCs w:val="21"/>
              </w:rPr>
            </w:pPr>
          </w:p>
        </w:tc>
        <w:tc>
          <w:tcPr>
            <w:tcW w:w="709" w:type="dxa"/>
            <w:vMerge w:val="continue"/>
            <w:noWrap w:val="0"/>
            <w:vAlign w:val="center"/>
          </w:tcPr>
          <w:p>
            <w:pPr>
              <w:widowControl/>
              <w:spacing w:line="320" w:lineRule="exact"/>
              <w:jc w:val="left"/>
              <w:rPr>
                <w:rFonts w:ascii="宋体" w:cs="宋体"/>
                <w:kern w:val="0"/>
                <w:szCs w:val="21"/>
              </w:rPr>
            </w:pPr>
          </w:p>
        </w:tc>
        <w:tc>
          <w:tcPr>
            <w:tcW w:w="614" w:type="dxa"/>
            <w:vMerge w:val="continue"/>
            <w:noWrap w:val="0"/>
            <w:vAlign w:val="center"/>
          </w:tcPr>
          <w:p>
            <w:pPr>
              <w:widowControl/>
              <w:spacing w:line="320" w:lineRule="exact"/>
              <w:jc w:val="left"/>
              <w:rPr>
                <w:rFonts w:ascii="宋体" w:cs="宋体"/>
                <w:kern w:val="0"/>
                <w:szCs w:val="21"/>
              </w:rPr>
            </w:pPr>
          </w:p>
        </w:tc>
        <w:tc>
          <w:tcPr>
            <w:tcW w:w="889" w:type="dxa"/>
            <w:vMerge w:val="continue"/>
            <w:noWrap w:val="0"/>
            <w:vAlign w:val="center"/>
          </w:tcPr>
          <w:p>
            <w:pPr>
              <w:widowControl/>
              <w:spacing w:line="320" w:lineRule="exact"/>
              <w:jc w:val="left"/>
              <w:rPr>
                <w:rFonts w:ascii="宋体" w:cs="宋体"/>
                <w:kern w:val="0"/>
                <w:szCs w:val="21"/>
              </w:rPr>
            </w:pPr>
          </w:p>
        </w:tc>
        <w:tc>
          <w:tcPr>
            <w:tcW w:w="3265" w:type="dxa"/>
            <w:noWrap w:val="0"/>
            <w:vAlign w:val="center"/>
          </w:tcPr>
          <w:p>
            <w:pPr>
              <w:widowControl/>
              <w:spacing w:line="320" w:lineRule="exact"/>
              <w:jc w:val="left"/>
              <w:rPr>
                <w:rFonts w:hint="eastAsia" w:ascii="宋体" w:eastAsia="宋体" w:cs="宋体"/>
                <w:kern w:val="0"/>
                <w:szCs w:val="21"/>
                <w:lang w:eastAsia="zh-CN"/>
              </w:rPr>
            </w:pPr>
            <w:r>
              <w:rPr>
                <w:rFonts w:hint="eastAsia" w:ascii="宋体" w:cs="宋体"/>
                <w:kern w:val="0"/>
                <w:szCs w:val="21"/>
              </w:rPr>
              <w:t>完成医用计量器具检定</w:t>
            </w:r>
            <w:r>
              <w:rPr>
                <w:rFonts w:hint="eastAsia" w:ascii="宋体" w:cs="宋体"/>
                <w:kern w:val="0"/>
                <w:szCs w:val="21"/>
                <w:lang w:val="en-US" w:eastAsia="zh-CN"/>
              </w:rPr>
              <w:t>2719</w:t>
            </w:r>
            <w:r>
              <w:rPr>
                <w:rFonts w:hint="eastAsia" w:ascii="宋体" w:cs="宋体"/>
                <w:kern w:val="0"/>
                <w:szCs w:val="21"/>
                <w:lang w:eastAsia="zh-CN"/>
              </w:rPr>
              <w:t>台次</w:t>
            </w:r>
          </w:p>
        </w:tc>
        <w:tc>
          <w:tcPr>
            <w:tcW w:w="2278" w:type="dxa"/>
            <w:noWrap w:val="0"/>
            <w:vAlign w:val="center"/>
          </w:tcPr>
          <w:p>
            <w:pPr>
              <w:widowControl/>
              <w:spacing w:line="320" w:lineRule="exact"/>
              <w:jc w:val="left"/>
              <w:rPr>
                <w:rFonts w:hint="eastAsia" w:ascii="宋体" w:cs="宋体"/>
                <w:kern w:val="0"/>
                <w:szCs w:val="21"/>
              </w:rPr>
            </w:pPr>
            <w:r>
              <w:rPr>
                <w:rFonts w:hint="eastAsia" w:ascii="宋体" w:cs="宋体"/>
                <w:kern w:val="0"/>
                <w:szCs w:val="21"/>
                <w:lang w:eastAsia="zh-CN"/>
              </w:rPr>
              <w:t>完成</w:t>
            </w:r>
            <w:r>
              <w:rPr>
                <w:rFonts w:hint="eastAsia" w:ascii="宋体" w:cs="宋体"/>
                <w:kern w:val="0"/>
                <w:szCs w:val="21"/>
              </w:rPr>
              <w:t>医用计量器具检定</w:t>
            </w:r>
            <w:r>
              <w:rPr>
                <w:rFonts w:hint="eastAsia" w:ascii="宋体" w:cs="宋体"/>
                <w:kern w:val="0"/>
                <w:szCs w:val="21"/>
                <w:lang w:val="en-US" w:eastAsia="zh-CN"/>
              </w:rPr>
              <w:t>3000台次得3.5分，每减少10%扣0.5分，扣完即止</w:t>
            </w:r>
          </w:p>
        </w:tc>
        <w:tc>
          <w:tcPr>
            <w:tcW w:w="586" w:type="dxa"/>
            <w:noWrap w:val="0"/>
            <w:vAlign w:val="center"/>
          </w:tcPr>
          <w:p>
            <w:pPr>
              <w:widowControl/>
              <w:spacing w:line="320" w:lineRule="exact"/>
              <w:jc w:val="left"/>
              <w:rPr>
                <w:rFonts w:ascii="宋体" w:cs="宋体"/>
                <w:kern w:val="0"/>
                <w:szCs w:val="21"/>
              </w:rPr>
            </w:pPr>
            <w:r>
              <w:rPr>
                <w:rFonts w:hint="eastAsia" w:ascii="宋体" w:cs="宋体"/>
                <w:kern w:val="0"/>
                <w:szCs w:val="21"/>
                <w:lang w:val="en-US" w:eastAsia="zh-CN"/>
              </w:rPr>
              <w:t>3.5</w:t>
            </w:r>
          </w:p>
        </w:tc>
        <w:tc>
          <w:tcPr>
            <w:tcW w:w="673" w:type="dxa"/>
            <w:noWrap w:val="0"/>
            <w:vAlign w:val="center"/>
          </w:tcPr>
          <w:p>
            <w:pPr>
              <w:jc w:val="center"/>
              <w:rPr>
                <w:rFonts w:hint="default" w:ascii="宋体" w:cs="宋体"/>
                <w:kern w:val="0"/>
                <w:szCs w:val="21"/>
                <w:lang w:val="en-US" w:eastAsia="zh-CN"/>
              </w:rPr>
            </w:pPr>
            <w:r>
              <w:rPr>
                <w:rFonts w:hint="eastAsia" w:ascii="宋体" w:cs="宋体"/>
                <w:kern w:val="0"/>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5" w:type="dxa"/>
            <w:vMerge w:val="continue"/>
            <w:noWrap w:val="0"/>
            <w:textDirection w:val="tbRlV"/>
            <w:vAlign w:val="center"/>
          </w:tcPr>
          <w:p>
            <w:pPr>
              <w:widowControl/>
              <w:spacing w:line="320" w:lineRule="exact"/>
              <w:jc w:val="left"/>
              <w:rPr>
                <w:rFonts w:ascii="宋体" w:cs="宋体"/>
                <w:kern w:val="0"/>
                <w:szCs w:val="21"/>
              </w:rPr>
            </w:pPr>
          </w:p>
        </w:tc>
        <w:tc>
          <w:tcPr>
            <w:tcW w:w="709" w:type="dxa"/>
            <w:vMerge w:val="continue"/>
            <w:noWrap w:val="0"/>
            <w:vAlign w:val="center"/>
          </w:tcPr>
          <w:p>
            <w:pPr>
              <w:widowControl/>
              <w:spacing w:line="320" w:lineRule="exact"/>
              <w:jc w:val="left"/>
              <w:rPr>
                <w:rFonts w:ascii="宋体" w:cs="宋体"/>
                <w:kern w:val="0"/>
                <w:szCs w:val="21"/>
              </w:rPr>
            </w:pPr>
          </w:p>
        </w:tc>
        <w:tc>
          <w:tcPr>
            <w:tcW w:w="614" w:type="dxa"/>
            <w:vMerge w:val="continue"/>
            <w:noWrap w:val="0"/>
            <w:vAlign w:val="center"/>
          </w:tcPr>
          <w:p>
            <w:pPr>
              <w:widowControl/>
              <w:spacing w:line="320" w:lineRule="exact"/>
              <w:jc w:val="left"/>
              <w:rPr>
                <w:rFonts w:ascii="宋体" w:cs="宋体"/>
                <w:kern w:val="0"/>
                <w:szCs w:val="21"/>
              </w:rPr>
            </w:pPr>
          </w:p>
        </w:tc>
        <w:tc>
          <w:tcPr>
            <w:tcW w:w="889" w:type="dxa"/>
            <w:vMerge w:val="continue"/>
            <w:noWrap w:val="0"/>
            <w:vAlign w:val="center"/>
          </w:tcPr>
          <w:p>
            <w:pPr>
              <w:widowControl/>
              <w:spacing w:line="320" w:lineRule="exact"/>
              <w:jc w:val="left"/>
              <w:rPr>
                <w:rFonts w:ascii="宋体" w:cs="宋体"/>
                <w:kern w:val="0"/>
                <w:szCs w:val="21"/>
              </w:rPr>
            </w:pPr>
          </w:p>
        </w:tc>
        <w:tc>
          <w:tcPr>
            <w:tcW w:w="3265" w:type="dxa"/>
            <w:noWrap w:val="0"/>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出租车计价器检定1</w:t>
            </w:r>
            <w:r>
              <w:rPr>
                <w:rFonts w:hint="eastAsia" w:ascii="宋体" w:cs="宋体"/>
                <w:kern w:val="0"/>
                <w:szCs w:val="21"/>
                <w:lang w:val="en-US" w:eastAsia="zh-CN"/>
              </w:rPr>
              <w:t>533台次</w:t>
            </w:r>
          </w:p>
        </w:tc>
        <w:tc>
          <w:tcPr>
            <w:tcW w:w="2278" w:type="dxa"/>
            <w:noWrap w:val="0"/>
            <w:vAlign w:val="center"/>
          </w:tcPr>
          <w:p>
            <w:pPr>
              <w:widowControl/>
              <w:spacing w:line="320" w:lineRule="exact"/>
              <w:jc w:val="left"/>
              <w:rPr>
                <w:rFonts w:hint="default" w:ascii="宋体" w:cs="宋体"/>
                <w:kern w:val="0"/>
                <w:szCs w:val="21"/>
                <w:lang w:val="en-US" w:eastAsia="zh-CN"/>
              </w:rPr>
            </w:pPr>
            <w:r>
              <w:rPr>
                <w:rFonts w:hint="eastAsia" w:ascii="宋体" w:cs="宋体"/>
                <w:kern w:val="0"/>
                <w:szCs w:val="21"/>
                <w:lang w:eastAsia="zh-CN"/>
              </w:rPr>
              <w:t>完成</w:t>
            </w:r>
            <w:r>
              <w:rPr>
                <w:rFonts w:hint="eastAsia" w:ascii="宋体" w:cs="宋体"/>
                <w:kern w:val="0"/>
                <w:szCs w:val="21"/>
              </w:rPr>
              <w:t>出租车计价器</w:t>
            </w:r>
            <w:r>
              <w:rPr>
                <w:rFonts w:hint="eastAsia" w:ascii="宋体" w:cs="宋体"/>
                <w:kern w:val="0"/>
                <w:szCs w:val="21"/>
                <w:lang w:val="en-US" w:eastAsia="zh-CN"/>
              </w:rPr>
              <w:t>检定1200台次得3.5分，每减少10%扣0.5分，扣完即止</w:t>
            </w:r>
          </w:p>
        </w:tc>
        <w:tc>
          <w:tcPr>
            <w:tcW w:w="586" w:type="dxa"/>
            <w:noWrap w:val="0"/>
            <w:vAlign w:val="center"/>
          </w:tcPr>
          <w:p>
            <w:pPr>
              <w:widowControl/>
              <w:spacing w:line="320" w:lineRule="exact"/>
              <w:jc w:val="left"/>
              <w:rPr>
                <w:rFonts w:ascii="宋体" w:cs="宋体"/>
                <w:kern w:val="0"/>
                <w:szCs w:val="21"/>
              </w:rPr>
            </w:pPr>
            <w:r>
              <w:rPr>
                <w:rFonts w:hint="eastAsia" w:ascii="宋体" w:cs="宋体"/>
                <w:kern w:val="0"/>
                <w:szCs w:val="21"/>
                <w:lang w:val="en-US" w:eastAsia="zh-CN"/>
              </w:rPr>
              <w:t>3.5</w:t>
            </w:r>
          </w:p>
        </w:tc>
        <w:tc>
          <w:tcPr>
            <w:tcW w:w="673" w:type="dxa"/>
            <w:noWrap w:val="0"/>
            <w:vAlign w:val="center"/>
          </w:tcPr>
          <w:p>
            <w:pPr>
              <w:jc w:val="center"/>
              <w:rPr>
                <w:rFonts w:hint="default" w:ascii="宋体" w:cs="宋体"/>
                <w:kern w:val="0"/>
                <w:szCs w:val="21"/>
                <w:lang w:val="en-US" w:eastAsia="zh-CN"/>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5" w:type="dxa"/>
            <w:vMerge w:val="continue"/>
            <w:noWrap w:val="0"/>
            <w:textDirection w:val="tbRlV"/>
            <w:vAlign w:val="center"/>
          </w:tcPr>
          <w:p>
            <w:pPr>
              <w:widowControl/>
              <w:spacing w:line="320" w:lineRule="exact"/>
              <w:jc w:val="left"/>
              <w:rPr>
                <w:rFonts w:ascii="宋体" w:cs="宋体"/>
                <w:kern w:val="0"/>
                <w:szCs w:val="21"/>
              </w:rPr>
            </w:pPr>
          </w:p>
        </w:tc>
        <w:tc>
          <w:tcPr>
            <w:tcW w:w="709" w:type="dxa"/>
            <w:vMerge w:val="continue"/>
            <w:noWrap w:val="0"/>
            <w:vAlign w:val="center"/>
          </w:tcPr>
          <w:p>
            <w:pPr>
              <w:widowControl/>
              <w:spacing w:line="320" w:lineRule="exact"/>
              <w:jc w:val="left"/>
              <w:rPr>
                <w:rFonts w:ascii="宋体" w:cs="宋体"/>
                <w:kern w:val="0"/>
                <w:szCs w:val="21"/>
              </w:rPr>
            </w:pPr>
          </w:p>
        </w:tc>
        <w:tc>
          <w:tcPr>
            <w:tcW w:w="614" w:type="dxa"/>
            <w:vMerge w:val="continue"/>
            <w:noWrap w:val="0"/>
            <w:vAlign w:val="center"/>
          </w:tcPr>
          <w:p>
            <w:pPr>
              <w:widowControl/>
              <w:spacing w:line="320" w:lineRule="exact"/>
              <w:jc w:val="left"/>
              <w:rPr>
                <w:rFonts w:ascii="宋体" w:cs="宋体"/>
                <w:kern w:val="0"/>
                <w:szCs w:val="21"/>
              </w:rPr>
            </w:pPr>
          </w:p>
        </w:tc>
        <w:tc>
          <w:tcPr>
            <w:tcW w:w="889" w:type="dxa"/>
            <w:vMerge w:val="continue"/>
            <w:noWrap w:val="0"/>
            <w:vAlign w:val="center"/>
          </w:tcPr>
          <w:p>
            <w:pPr>
              <w:widowControl/>
              <w:spacing w:line="320" w:lineRule="exact"/>
              <w:jc w:val="left"/>
              <w:rPr>
                <w:rFonts w:ascii="宋体" w:cs="宋体"/>
                <w:kern w:val="0"/>
                <w:szCs w:val="21"/>
              </w:rPr>
            </w:pPr>
          </w:p>
        </w:tc>
        <w:tc>
          <w:tcPr>
            <w:tcW w:w="3265" w:type="dxa"/>
            <w:noWrap w:val="0"/>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检定</w:t>
            </w:r>
            <w:r>
              <w:rPr>
                <w:rFonts w:hint="eastAsia" w:ascii="宋体" w:cs="宋体"/>
                <w:kern w:val="0"/>
                <w:szCs w:val="21"/>
                <w:lang w:eastAsia="zh-CN"/>
              </w:rPr>
              <w:t>加油枪</w:t>
            </w:r>
            <w:r>
              <w:rPr>
                <w:rFonts w:hint="eastAsia" w:ascii="宋体" w:cs="宋体"/>
                <w:kern w:val="0"/>
                <w:szCs w:val="21"/>
                <w:lang w:val="en-US" w:eastAsia="zh-CN"/>
              </w:rPr>
              <w:t>1967</w:t>
            </w:r>
            <w:r>
              <w:rPr>
                <w:rFonts w:hint="eastAsia" w:ascii="宋体" w:cs="宋体"/>
                <w:kern w:val="0"/>
                <w:szCs w:val="21"/>
              </w:rPr>
              <w:t>条枪</w:t>
            </w:r>
          </w:p>
        </w:tc>
        <w:tc>
          <w:tcPr>
            <w:tcW w:w="2278" w:type="dxa"/>
            <w:noWrap w:val="0"/>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val="en-US" w:eastAsia="zh-CN"/>
              </w:rPr>
              <w:t>完成</w:t>
            </w:r>
            <w:r>
              <w:rPr>
                <w:rFonts w:hint="default" w:ascii="宋体" w:eastAsia="宋体" w:cs="宋体"/>
                <w:kern w:val="0"/>
                <w:szCs w:val="21"/>
                <w:lang w:val="en-US" w:eastAsia="zh-CN"/>
              </w:rPr>
              <w:t>加油</w:t>
            </w:r>
            <w:r>
              <w:rPr>
                <w:rFonts w:hint="eastAsia" w:ascii="宋体" w:cs="宋体"/>
                <w:kern w:val="0"/>
                <w:szCs w:val="21"/>
                <w:lang w:val="en-US" w:eastAsia="zh-CN"/>
              </w:rPr>
              <w:t>枪检定1702条得3.5分，每减少10%扣0.5分，扣完即止</w:t>
            </w:r>
          </w:p>
        </w:tc>
        <w:tc>
          <w:tcPr>
            <w:tcW w:w="586" w:type="dxa"/>
            <w:noWrap w:val="0"/>
            <w:vAlign w:val="center"/>
          </w:tcPr>
          <w:p>
            <w:pPr>
              <w:widowControl/>
              <w:spacing w:line="320" w:lineRule="exact"/>
              <w:jc w:val="left"/>
              <w:rPr>
                <w:rFonts w:ascii="宋体" w:cs="宋体"/>
                <w:kern w:val="0"/>
                <w:szCs w:val="21"/>
              </w:rPr>
            </w:pPr>
            <w:r>
              <w:rPr>
                <w:rFonts w:hint="eastAsia" w:ascii="宋体" w:cs="宋体"/>
                <w:kern w:val="0"/>
                <w:szCs w:val="21"/>
                <w:lang w:val="en-US" w:eastAsia="zh-CN"/>
              </w:rPr>
              <w:t>3.5</w:t>
            </w:r>
          </w:p>
        </w:tc>
        <w:tc>
          <w:tcPr>
            <w:tcW w:w="673" w:type="dxa"/>
            <w:noWrap w:val="0"/>
            <w:vAlign w:val="center"/>
          </w:tcPr>
          <w:p>
            <w:pPr>
              <w:jc w:val="center"/>
              <w:rPr>
                <w:rFonts w:hint="default" w:ascii="宋体" w:cs="宋体"/>
                <w:kern w:val="0"/>
                <w:szCs w:val="21"/>
                <w:lang w:val="en-US" w:eastAsia="zh-CN"/>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5" w:type="dxa"/>
            <w:vMerge w:val="continue"/>
            <w:noWrap w:val="0"/>
            <w:textDirection w:val="tbRlV"/>
            <w:vAlign w:val="center"/>
          </w:tcPr>
          <w:p>
            <w:pPr>
              <w:widowControl/>
              <w:spacing w:line="320" w:lineRule="exact"/>
              <w:jc w:val="left"/>
              <w:rPr>
                <w:rFonts w:ascii="宋体" w:cs="宋体"/>
                <w:kern w:val="0"/>
                <w:szCs w:val="21"/>
              </w:rPr>
            </w:pPr>
          </w:p>
        </w:tc>
        <w:tc>
          <w:tcPr>
            <w:tcW w:w="709" w:type="dxa"/>
            <w:vMerge w:val="restart"/>
            <w:noWrap w:val="0"/>
            <w:vAlign w:val="center"/>
          </w:tcPr>
          <w:p>
            <w:pPr>
              <w:widowControl/>
              <w:spacing w:line="320" w:lineRule="exact"/>
              <w:jc w:val="center"/>
              <w:rPr>
                <w:rFonts w:ascii="宋体" w:cs="宋体"/>
                <w:kern w:val="0"/>
                <w:szCs w:val="21"/>
              </w:rPr>
            </w:pPr>
            <w:r>
              <w:rPr>
                <w:rFonts w:hint="eastAsia" w:ascii="宋体" w:cs="宋体"/>
                <w:kern w:val="0"/>
                <w:szCs w:val="21"/>
              </w:rPr>
              <w:t>履职 效益</w:t>
            </w:r>
          </w:p>
        </w:tc>
        <w:tc>
          <w:tcPr>
            <w:tcW w:w="614" w:type="dxa"/>
            <w:vMerge w:val="continue"/>
            <w:noWrap w:val="0"/>
            <w:vAlign w:val="center"/>
          </w:tcPr>
          <w:p>
            <w:pPr>
              <w:widowControl/>
              <w:spacing w:line="320" w:lineRule="exact"/>
              <w:jc w:val="left"/>
              <w:rPr>
                <w:rFonts w:ascii="宋体" w:cs="宋体"/>
                <w:kern w:val="0"/>
                <w:szCs w:val="21"/>
              </w:rPr>
            </w:pPr>
          </w:p>
        </w:tc>
        <w:tc>
          <w:tcPr>
            <w:tcW w:w="889" w:type="dxa"/>
            <w:vMerge w:val="continue"/>
            <w:noWrap w:val="0"/>
            <w:vAlign w:val="center"/>
          </w:tcPr>
          <w:p>
            <w:pPr>
              <w:widowControl/>
              <w:spacing w:line="320" w:lineRule="exact"/>
              <w:jc w:val="left"/>
              <w:rPr>
                <w:rFonts w:ascii="宋体" w:cs="宋体"/>
                <w:kern w:val="0"/>
                <w:szCs w:val="21"/>
              </w:rPr>
            </w:pPr>
          </w:p>
        </w:tc>
        <w:tc>
          <w:tcPr>
            <w:tcW w:w="3265" w:type="dxa"/>
            <w:noWrap w:val="0"/>
            <w:vAlign w:val="center"/>
          </w:tcPr>
          <w:p>
            <w:pPr>
              <w:widowControl/>
              <w:spacing w:line="320" w:lineRule="exact"/>
              <w:jc w:val="left"/>
              <w:rPr>
                <w:rFonts w:hint="eastAsia" w:ascii="宋体" w:cs="宋体"/>
                <w:kern w:val="0"/>
                <w:szCs w:val="21"/>
              </w:rPr>
            </w:pPr>
            <w:r>
              <w:rPr>
                <w:rFonts w:hint="eastAsia"/>
              </w:rPr>
              <w:t>开展业务知识培训，培</w:t>
            </w:r>
            <w:r>
              <w:rPr>
                <w:rFonts w:hint="eastAsia" w:ascii="宋体" w:cs="宋体"/>
                <w:kern w:val="0"/>
                <w:szCs w:val="21"/>
              </w:rPr>
              <w:t>训</w:t>
            </w:r>
            <w:r>
              <w:rPr>
                <w:rFonts w:hint="eastAsia" w:ascii="宋体" w:cs="宋体"/>
                <w:kern w:val="0"/>
                <w:szCs w:val="21"/>
                <w:lang w:val="en-US" w:eastAsia="zh-CN"/>
              </w:rPr>
              <w:t>8</w:t>
            </w:r>
            <w:r>
              <w:rPr>
                <w:rFonts w:hint="eastAsia" w:ascii="宋体" w:cs="宋体"/>
                <w:kern w:val="0"/>
                <w:szCs w:val="21"/>
              </w:rPr>
              <w:t>人</w:t>
            </w:r>
          </w:p>
        </w:tc>
        <w:tc>
          <w:tcPr>
            <w:tcW w:w="2278" w:type="dxa"/>
            <w:noWrap w:val="0"/>
            <w:vAlign w:val="center"/>
          </w:tcPr>
          <w:p>
            <w:pPr>
              <w:widowControl/>
              <w:spacing w:line="320" w:lineRule="exact"/>
              <w:jc w:val="left"/>
              <w:rPr>
                <w:rFonts w:hint="eastAsia" w:ascii="宋体" w:cs="宋体"/>
                <w:kern w:val="0"/>
                <w:szCs w:val="21"/>
                <w:lang w:val="en-US" w:eastAsia="zh-CN"/>
              </w:rPr>
            </w:pPr>
            <w:r>
              <w:rPr>
                <w:rFonts w:hint="eastAsia" w:ascii="宋体" w:cs="宋体"/>
                <w:kern w:val="0"/>
                <w:szCs w:val="21"/>
                <w:lang w:val="en-US" w:eastAsia="zh-CN"/>
              </w:rPr>
              <w:t>全年完成业务知识培训5人得3.5分，每减少1人扣1分，扣完即止。</w:t>
            </w:r>
          </w:p>
        </w:tc>
        <w:tc>
          <w:tcPr>
            <w:tcW w:w="586" w:type="dxa"/>
            <w:noWrap w:val="0"/>
            <w:vAlign w:val="center"/>
          </w:tcPr>
          <w:p>
            <w:pPr>
              <w:widowControl/>
              <w:spacing w:line="320" w:lineRule="exact"/>
              <w:jc w:val="left"/>
              <w:rPr>
                <w:rFonts w:hint="default" w:ascii="宋体" w:cs="宋体"/>
                <w:kern w:val="0"/>
                <w:szCs w:val="21"/>
                <w:lang w:val="en-US" w:eastAsia="zh-CN"/>
              </w:rPr>
            </w:pPr>
            <w:r>
              <w:rPr>
                <w:rFonts w:hint="eastAsia" w:ascii="宋体" w:cs="宋体"/>
                <w:kern w:val="0"/>
                <w:szCs w:val="21"/>
                <w:lang w:val="en-US" w:eastAsia="zh-CN"/>
              </w:rPr>
              <w:t>3.5</w:t>
            </w:r>
          </w:p>
        </w:tc>
        <w:tc>
          <w:tcPr>
            <w:tcW w:w="673" w:type="dxa"/>
            <w:noWrap w:val="0"/>
            <w:vAlign w:val="center"/>
          </w:tcPr>
          <w:p>
            <w:pPr>
              <w:jc w:val="center"/>
              <w:rPr>
                <w:rFonts w:hint="default" w:ascii="宋体" w:cs="宋体"/>
                <w:kern w:val="0"/>
                <w:szCs w:val="21"/>
                <w:lang w:val="en-US" w:eastAsia="zh-CN"/>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675" w:type="dxa"/>
            <w:vMerge w:val="continue"/>
            <w:noWrap w:val="0"/>
            <w:textDirection w:val="tbRlV"/>
            <w:vAlign w:val="center"/>
          </w:tcPr>
          <w:p/>
        </w:tc>
        <w:tc>
          <w:tcPr>
            <w:tcW w:w="709" w:type="dxa"/>
            <w:vMerge w:val="continue"/>
            <w:noWrap w:val="0"/>
            <w:vAlign w:val="center"/>
          </w:tcPr>
          <w:p>
            <w:pPr>
              <w:widowControl/>
              <w:spacing w:line="320" w:lineRule="exact"/>
              <w:jc w:val="center"/>
              <w:rPr>
                <w:rFonts w:ascii="宋体" w:cs="宋体"/>
                <w:kern w:val="0"/>
                <w:szCs w:val="21"/>
              </w:rPr>
            </w:p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eastAsia" w:eastAsia="宋体"/>
                <w:lang w:eastAsia="zh-CN"/>
              </w:rPr>
            </w:pPr>
            <w:r>
              <w:rPr>
                <w:rFonts w:hint="eastAsia" w:ascii="宋体" w:cs="宋体"/>
                <w:kern w:val="0"/>
                <w:szCs w:val="21"/>
                <w:lang w:eastAsia="zh-CN"/>
              </w:rPr>
              <w:t>检定加气枪</w:t>
            </w:r>
            <w:r>
              <w:rPr>
                <w:rFonts w:hint="eastAsia" w:ascii="宋体" w:cs="宋体"/>
                <w:kern w:val="0"/>
                <w:szCs w:val="21"/>
                <w:lang w:val="en-US" w:eastAsia="zh-CN"/>
              </w:rPr>
              <w:t>52</w:t>
            </w:r>
            <w:r>
              <w:rPr>
                <w:rFonts w:hint="eastAsia" w:ascii="宋体" w:cs="宋体"/>
                <w:kern w:val="0"/>
                <w:szCs w:val="21"/>
              </w:rPr>
              <w:t>条枪</w:t>
            </w:r>
          </w:p>
        </w:tc>
        <w:tc>
          <w:tcPr>
            <w:tcW w:w="2278" w:type="dxa"/>
            <w:noWrap w:val="0"/>
            <w:vAlign w:val="center"/>
          </w:tcPr>
          <w:p>
            <w:pPr>
              <w:widowControl/>
              <w:spacing w:line="320" w:lineRule="exact"/>
              <w:jc w:val="left"/>
              <w:rPr>
                <w:rFonts w:hint="default" w:ascii="宋体" w:eastAsia="宋体" w:cs="宋体"/>
                <w:kern w:val="0"/>
                <w:szCs w:val="21"/>
                <w:lang w:val="en-US" w:eastAsia="zh-CN"/>
              </w:rPr>
            </w:pPr>
            <w:r>
              <w:rPr>
                <w:rFonts w:hint="eastAsia"/>
                <w:lang w:eastAsia="zh-CN"/>
              </w:rPr>
              <w:t>完成加气枪检定</w:t>
            </w:r>
            <w:r>
              <w:rPr>
                <w:rFonts w:hint="eastAsia"/>
                <w:lang w:val="en-US" w:eastAsia="zh-CN"/>
              </w:rPr>
              <w:t>80台3.5分，</w:t>
            </w:r>
            <w:r>
              <w:rPr>
                <w:rFonts w:hint="eastAsia" w:ascii="宋体" w:cs="宋体"/>
                <w:kern w:val="0"/>
                <w:szCs w:val="21"/>
                <w:lang w:val="en-US" w:eastAsia="zh-CN"/>
              </w:rPr>
              <w:t>每减少10%扣0.5分，扣完即止。</w:t>
            </w:r>
          </w:p>
        </w:tc>
        <w:tc>
          <w:tcPr>
            <w:tcW w:w="586" w:type="dxa"/>
            <w:noWrap w:val="0"/>
            <w:vAlign w:val="center"/>
          </w:tcPr>
          <w:p>
            <w:r>
              <w:rPr>
                <w:rFonts w:hint="eastAsia" w:ascii="宋体" w:cs="宋体"/>
                <w:kern w:val="0"/>
                <w:szCs w:val="21"/>
                <w:lang w:val="en-US" w:eastAsia="zh-CN"/>
              </w:rPr>
              <w:t>3.5</w:t>
            </w:r>
          </w:p>
        </w:tc>
        <w:tc>
          <w:tcPr>
            <w:tcW w:w="673" w:type="dxa"/>
            <w:noWrap w:val="0"/>
            <w:vAlign w:val="center"/>
          </w:tcPr>
          <w:p>
            <w:pPr>
              <w:jc w:val="center"/>
              <w:rPr>
                <w:rFonts w:hint="default" w:ascii="宋体" w:cs="宋体"/>
                <w:kern w:val="0"/>
                <w:szCs w:val="21"/>
                <w:lang w:val="en-US" w:eastAsia="zh-CN"/>
              </w:rPr>
            </w:pPr>
            <w:r>
              <w:rPr>
                <w:rFonts w:hint="eastAsia" w:ascii="宋体" w:cs="宋体"/>
                <w:kern w:val="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75" w:type="dxa"/>
            <w:vMerge w:val="continue"/>
            <w:noWrap w:val="0"/>
            <w:textDirection w:val="tbRlV"/>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default" w:eastAsia="宋体"/>
                <w:lang w:val="en-US" w:eastAsia="zh-CN"/>
              </w:rPr>
            </w:pPr>
            <w:r>
              <w:rPr>
                <w:rFonts w:hint="eastAsia"/>
              </w:rPr>
              <w:t>其他</w:t>
            </w:r>
            <w:r>
              <w:rPr>
                <w:rFonts w:hint="eastAsia" w:ascii="宋体" w:cs="宋体"/>
                <w:kern w:val="0"/>
                <w:szCs w:val="21"/>
              </w:rPr>
              <w:t>计量器具</w:t>
            </w:r>
            <w:r>
              <w:rPr>
                <w:rFonts w:hint="eastAsia" w:ascii="宋体" w:cs="宋体"/>
                <w:kern w:val="0"/>
                <w:szCs w:val="21"/>
                <w:lang w:val="en-US" w:eastAsia="zh-CN"/>
              </w:rPr>
              <w:t>3000</w:t>
            </w:r>
          </w:p>
        </w:tc>
        <w:tc>
          <w:tcPr>
            <w:tcW w:w="2278" w:type="dxa"/>
            <w:noWrap w:val="0"/>
            <w:vAlign w:val="center"/>
          </w:tcPr>
          <w:p>
            <w:pPr>
              <w:widowControl/>
              <w:spacing w:line="320" w:lineRule="exact"/>
              <w:jc w:val="left"/>
              <w:rPr>
                <w:rFonts w:hint="eastAsia" w:ascii="宋体" w:cs="宋体"/>
                <w:kern w:val="0"/>
                <w:szCs w:val="21"/>
              </w:rPr>
            </w:pPr>
            <w:r>
              <w:rPr>
                <w:rFonts w:hint="eastAsia" w:ascii="宋体" w:cs="宋体"/>
                <w:kern w:val="0"/>
                <w:szCs w:val="21"/>
                <w:lang w:eastAsia="zh-CN"/>
              </w:rPr>
              <w:t>完成</w:t>
            </w:r>
            <w:r>
              <w:rPr>
                <w:rFonts w:hint="eastAsia"/>
              </w:rPr>
              <w:t>其他</w:t>
            </w:r>
            <w:r>
              <w:rPr>
                <w:rFonts w:hint="eastAsia" w:ascii="宋体" w:cs="宋体"/>
                <w:kern w:val="0"/>
                <w:szCs w:val="21"/>
              </w:rPr>
              <w:t>计量器具检定</w:t>
            </w:r>
            <w:r>
              <w:rPr>
                <w:rFonts w:hint="eastAsia" w:ascii="宋体" w:cs="宋体"/>
                <w:kern w:val="0"/>
                <w:szCs w:val="21"/>
                <w:lang w:val="en-US" w:eastAsia="zh-CN"/>
              </w:rPr>
              <w:t>3000台次得3.5分，每减少10%扣0.5分，扣完即止</w:t>
            </w:r>
          </w:p>
        </w:tc>
        <w:tc>
          <w:tcPr>
            <w:tcW w:w="586" w:type="dxa"/>
            <w:noWrap w:val="0"/>
            <w:vAlign w:val="center"/>
          </w:tcPr>
          <w:p>
            <w:r>
              <w:rPr>
                <w:rFonts w:hint="eastAsia" w:ascii="宋体" w:cs="宋体"/>
                <w:kern w:val="0"/>
                <w:szCs w:val="21"/>
                <w:lang w:val="en-US" w:eastAsia="zh-CN"/>
              </w:rPr>
              <w:t>3.5</w:t>
            </w:r>
          </w:p>
        </w:tc>
        <w:tc>
          <w:tcPr>
            <w:tcW w:w="673" w:type="dxa"/>
            <w:noWrap w:val="0"/>
            <w:vAlign w:val="center"/>
          </w:tcPr>
          <w:p>
            <w:pPr>
              <w:jc w:val="center"/>
              <w:rPr>
                <w:rFonts w:hint="default" w:ascii="宋体" w:cs="宋体"/>
                <w:kern w:val="0"/>
                <w:szCs w:val="21"/>
                <w:lang w:val="en-US" w:eastAsia="zh-CN"/>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75" w:type="dxa"/>
            <w:vMerge w:val="continue"/>
            <w:noWrap w:val="0"/>
            <w:textDirection w:val="tbRlV"/>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eastAsia" w:eastAsia="宋体"/>
                <w:lang w:eastAsia="zh-CN"/>
              </w:rPr>
            </w:pPr>
            <w:r>
              <w:rPr>
                <w:rFonts w:hint="eastAsia" w:eastAsia="宋体"/>
                <w:lang w:eastAsia="zh-CN"/>
              </w:rPr>
              <w:t>完成省局安排的任务定量包装商品净含量检测任务</w:t>
            </w:r>
          </w:p>
        </w:tc>
        <w:tc>
          <w:tcPr>
            <w:tcW w:w="2278" w:type="dxa"/>
            <w:noWrap w:val="0"/>
            <w:vAlign w:val="center"/>
          </w:tcPr>
          <w:p>
            <w:pPr>
              <w:widowControl/>
              <w:spacing w:line="320" w:lineRule="exact"/>
              <w:jc w:val="left"/>
              <w:rPr>
                <w:rFonts w:hint="default" w:ascii="宋体" w:cs="宋体"/>
                <w:kern w:val="0"/>
                <w:szCs w:val="21"/>
                <w:lang w:val="en-US" w:eastAsia="zh-CN"/>
              </w:rPr>
            </w:pPr>
            <w:r>
              <w:rPr>
                <w:rFonts w:hint="default" w:ascii="宋体" w:cs="宋体"/>
                <w:kern w:val="0"/>
                <w:szCs w:val="21"/>
                <w:lang w:val="en-US" w:eastAsia="zh-CN"/>
              </w:rPr>
              <w:t>完成省局安排的任务得3.5分，未完成不得分</w:t>
            </w:r>
          </w:p>
        </w:tc>
        <w:tc>
          <w:tcPr>
            <w:tcW w:w="586" w:type="dxa"/>
            <w:noWrap w:val="0"/>
            <w:vAlign w:val="center"/>
          </w:tcPr>
          <w:p>
            <w:r>
              <w:rPr>
                <w:rFonts w:hint="eastAsia" w:ascii="宋体" w:cs="宋体"/>
                <w:kern w:val="0"/>
                <w:szCs w:val="21"/>
                <w:lang w:val="en-US" w:eastAsia="zh-CN"/>
              </w:rPr>
              <w:t>3.5</w:t>
            </w:r>
          </w:p>
        </w:tc>
        <w:tc>
          <w:tcPr>
            <w:tcW w:w="673" w:type="dxa"/>
            <w:noWrap w:val="0"/>
            <w:vAlign w:val="center"/>
          </w:tcPr>
          <w:p>
            <w:pPr>
              <w:rPr>
                <w:rFonts w:hint="eastAsia" w:ascii="宋体" w:hAnsi="Calibri" w:eastAsia="宋体" w:cs="宋体"/>
                <w:kern w:val="0"/>
                <w:sz w:val="21"/>
                <w:szCs w:val="21"/>
                <w:lang w:val="en-US" w:eastAsia="zh-CN" w:bidi="ar-SA"/>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75" w:type="dxa"/>
            <w:vMerge w:val="continue"/>
            <w:noWrap w:val="0"/>
            <w:textDirection w:val="tbRlV"/>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eastAsia"/>
              </w:rPr>
            </w:pPr>
            <w:r>
              <w:rPr>
                <w:rFonts w:hint="eastAsia"/>
              </w:rPr>
              <w:t>在用标</w:t>
            </w:r>
            <w:r>
              <w:rPr>
                <w:rFonts w:hint="eastAsia" w:ascii="宋体" w:cs="宋体"/>
                <w:kern w:val="0"/>
                <w:szCs w:val="21"/>
              </w:rPr>
              <w:t>准器受检率</w:t>
            </w:r>
            <w:r>
              <w:rPr>
                <w:rFonts w:hint="eastAsia" w:ascii="宋体" w:cs="宋体"/>
                <w:kern w:val="0"/>
                <w:szCs w:val="21"/>
                <w:lang w:val="en-US" w:eastAsia="zh-CN"/>
              </w:rPr>
              <w:t>100%</w:t>
            </w:r>
          </w:p>
        </w:tc>
        <w:tc>
          <w:tcPr>
            <w:tcW w:w="2278" w:type="dxa"/>
            <w:noWrap w:val="0"/>
            <w:vAlign w:val="center"/>
          </w:tcPr>
          <w:p>
            <w:pPr>
              <w:widowControl/>
              <w:spacing w:line="320" w:lineRule="exact"/>
              <w:jc w:val="left"/>
              <w:rPr>
                <w:rFonts w:hint="default" w:ascii="宋体" w:eastAsia="宋体" w:cs="宋体"/>
                <w:kern w:val="0"/>
                <w:szCs w:val="21"/>
                <w:lang w:val="en-US" w:eastAsia="zh-CN"/>
              </w:rPr>
            </w:pPr>
            <w:r>
              <w:rPr>
                <w:rFonts w:hint="eastAsia"/>
              </w:rPr>
              <w:t>在用标准器受检率</w:t>
            </w:r>
            <w:r>
              <w:rPr>
                <w:rFonts w:hint="eastAsia"/>
                <w:lang w:val="en-US" w:eastAsia="zh-CN"/>
              </w:rPr>
              <w:t>100%得3.5分，</w:t>
            </w:r>
            <w:r>
              <w:rPr>
                <w:rFonts w:hint="eastAsia"/>
              </w:rPr>
              <w:t>受检率</w:t>
            </w:r>
            <w:r>
              <w:rPr>
                <w:rFonts w:hint="eastAsia"/>
                <w:lang w:eastAsia="zh-CN"/>
              </w:rPr>
              <w:t>每下降</w:t>
            </w:r>
            <w:r>
              <w:rPr>
                <w:rFonts w:hint="eastAsia"/>
                <w:lang w:val="en-US" w:eastAsia="zh-CN"/>
              </w:rPr>
              <w:t>10%扣0.5分，扣完即止</w:t>
            </w:r>
          </w:p>
        </w:tc>
        <w:tc>
          <w:tcPr>
            <w:tcW w:w="586" w:type="dxa"/>
            <w:noWrap w:val="0"/>
            <w:vAlign w:val="center"/>
          </w:tcPr>
          <w:p>
            <w:pPr>
              <w:rPr>
                <w:rFonts w:hint="eastAsia" w:ascii="宋体" w:cs="宋体"/>
                <w:kern w:val="0"/>
                <w:szCs w:val="21"/>
                <w:lang w:val="en-US" w:eastAsia="zh-CN"/>
              </w:rPr>
            </w:pPr>
            <w:r>
              <w:rPr>
                <w:rFonts w:hint="eastAsia" w:ascii="宋体" w:cs="宋体"/>
                <w:kern w:val="0"/>
                <w:szCs w:val="21"/>
                <w:lang w:val="en-US" w:eastAsia="zh-CN"/>
              </w:rPr>
              <w:t>3.5</w:t>
            </w:r>
          </w:p>
        </w:tc>
        <w:tc>
          <w:tcPr>
            <w:tcW w:w="673" w:type="dxa"/>
            <w:noWrap w:val="0"/>
            <w:vAlign w:val="center"/>
          </w:tcPr>
          <w:p>
            <w:pPr>
              <w:rPr>
                <w:rFonts w:hint="eastAsia" w:ascii="宋体" w:hAnsi="Calibri" w:eastAsia="宋体" w:cs="宋体"/>
                <w:kern w:val="0"/>
                <w:sz w:val="21"/>
                <w:szCs w:val="21"/>
                <w:lang w:val="en-US" w:eastAsia="zh-CN" w:bidi="ar-SA"/>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75" w:type="dxa"/>
            <w:vMerge w:val="continue"/>
            <w:noWrap w:val="0"/>
            <w:textDirection w:val="tbRlV"/>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default" w:eastAsia="宋体"/>
                <w:lang w:val="en-US" w:eastAsia="zh-CN"/>
              </w:rPr>
            </w:pPr>
            <w:r>
              <w:rPr>
                <w:rFonts w:hint="eastAsia"/>
              </w:rPr>
              <w:t>出租车检定线租赁费</w:t>
            </w:r>
            <w:r>
              <w:rPr>
                <w:rFonts w:hint="eastAsia"/>
                <w:lang w:eastAsia="zh-CN"/>
              </w:rPr>
              <w:t>成本</w:t>
            </w:r>
            <w:r>
              <w:rPr>
                <w:rFonts w:hint="eastAsia"/>
                <w:lang w:val="en-US" w:eastAsia="zh-CN"/>
              </w:rPr>
              <w:t>12万元</w:t>
            </w:r>
          </w:p>
        </w:tc>
        <w:tc>
          <w:tcPr>
            <w:tcW w:w="2278" w:type="dxa"/>
            <w:noWrap w:val="0"/>
            <w:vAlign w:val="center"/>
          </w:tcPr>
          <w:p>
            <w:pPr>
              <w:widowControl/>
              <w:spacing w:line="320" w:lineRule="exact"/>
              <w:jc w:val="left"/>
              <w:rPr>
                <w:rFonts w:hint="default" w:ascii="宋体" w:cs="宋体"/>
                <w:kern w:val="0"/>
                <w:szCs w:val="21"/>
                <w:lang w:val="en-US" w:eastAsia="zh-CN"/>
              </w:rPr>
            </w:pPr>
            <w:r>
              <w:rPr>
                <w:rFonts w:hint="eastAsia"/>
              </w:rPr>
              <w:t>出租车检定线租赁费</w:t>
            </w:r>
            <w:r>
              <w:rPr>
                <w:rFonts w:hint="eastAsia"/>
                <w:lang w:eastAsia="zh-CN"/>
              </w:rPr>
              <w:t>成本</w:t>
            </w:r>
            <w:r>
              <w:rPr>
                <w:rFonts w:hint="eastAsia"/>
                <w:lang w:val="en-US" w:eastAsia="zh-CN"/>
              </w:rPr>
              <w:t>12万元得3.5分，每超过5%扣0.5分，扣完即止</w:t>
            </w:r>
          </w:p>
        </w:tc>
        <w:tc>
          <w:tcPr>
            <w:tcW w:w="586" w:type="dxa"/>
            <w:noWrap w:val="0"/>
            <w:vAlign w:val="center"/>
          </w:tcPr>
          <w:p>
            <w:pPr>
              <w:rPr>
                <w:rFonts w:hint="eastAsia" w:ascii="宋体" w:cs="宋体"/>
                <w:kern w:val="0"/>
                <w:szCs w:val="21"/>
                <w:lang w:val="en-US" w:eastAsia="zh-CN"/>
              </w:rPr>
            </w:pPr>
            <w:r>
              <w:rPr>
                <w:rFonts w:hint="eastAsia" w:ascii="宋体" w:cs="宋体"/>
                <w:kern w:val="0"/>
                <w:szCs w:val="21"/>
                <w:lang w:val="en-US" w:eastAsia="zh-CN"/>
              </w:rPr>
              <w:t>3.5</w:t>
            </w:r>
          </w:p>
        </w:tc>
        <w:tc>
          <w:tcPr>
            <w:tcW w:w="673" w:type="dxa"/>
            <w:noWrap w:val="0"/>
            <w:vAlign w:val="center"/>
          </w:tcPr>
          <w:p>
            <w:pPr>
              <w:rPr>
                <w:rFonts w:hint="eastAsia" w:ascii="宋体" w:cs="宋体"/>
                <w:kern w:val="0"/>
                <w:szCs w:val="21"/>
                <w:lang w:val="en-US" w:eastAsia="zh-CN"/>
              </w:rP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75" w:type="dxa"/>
            <w:vMerge w:val="continue"/>
            <w:noWrap w:val="0"/>
            <w:textDirection w:val="tbRlV"/>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default" w:eastAsia="宋体"/>
                <w:lang w:val="en-US" w:eastAsia="zh-CN"/>
              </w:rPr>
            </w:pPr>
            <w:r>
              <w:rPr>
                <w:rFonts w:hint="eastAsia"/>
                <w:lang w:val="en-US" w:eastAsia="zh-CN"/>
              </w:rPr>
              <w:t>5月已</w:t>
            </w:r>
            <w:r>
              <w:rPr>
                <w:rFonts w:hint="default" w:eastAsia="宋体"/>
                <w:lang w:val="en-US" w:eastAsia="zh-CN"/>
              </w:rPr>
              <w:t>完成仪器送检工作</w:t>
            </w:r>
          </w:p>
        </w:tc>
        <w:tc>
          <w:tcPr>
            <w:tcW w:w="2278" w:type="dxa"/>
            <w:noWrap w:val="0"/>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val="en-US" w:eastAsia="zh-CN"/>
              </w:rPr>
              <w:t>6月完成仪器送检工作得3.5分，每推迟1个月扣1分，扣完即止</w:t>
            </w:r>
          </w:p>
        </w:tc>
        <w:tc>
          <w:tcPr>
            <w:tcW w:w="586" w:type="dxa"/>
            <w:noWrap w:val="0"/>
            <w:vAlign w:val="center"/>
          </w:tcPr>
          <w:p>
            <w:r>
              <w:rPr>
                <w:rFonts w:hint="eastAsia" w:ascii="宋体" w:cs="宋体"/>
                <w:kern w:val="0"/>
                <w:szCs w:val="21"/>
                <w:lang w:val="en-US" w:eastAsia="zh-CN"/>
              </w:rPr>
              <w:t>3.5</w:t>
            </w:r>
          </w:p>
        </w:tc>
        <w:tc>
          <w:tcPr>
            <w:tcW w:w="673" w:type="dxa"/>
            <w:noWrap w:val="0"/>
            <w:vAlign w:val="center"/>
          </w:tcPr>
          <w:p>
            <w:pPr>
              <w:jc w:val="center"/>
            </w:pPr>
            <w:r>
              <w:rPr>
                <w:rFonts w:hint="eastAsia" w:ascii="宋体" w:cs="宋体"/>
                <w:kern w:val="0"/>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75" w:type="dxa"/>
            <w:vMerge w:val="continue"/>
            <w:noWrap w:val="0"/>
            <w:textDirection w:val="tbRlV"/>
            <w:vAlign w:val="center"/>
          </w:tcPr>
          <w:p/>
        </w:tc>
        <w:tc>
          <w:tcPr>
            <w:tcW w:w="709" w:type="dxa"/>
            <w:vMerge w:val="continue"/>
            <w:noWrap w:val="0"/>
            <w:vAlign w:val="center"/>
          </w:tcPr>
          <w:p/>
        </w:tc>
        <w:tc>
          <w:tcPr>
            <w:tcW w:w="614" w:type="dxa"/>
            <w:vMerge w:val="continue"/>
            <w:noWrap w:val="0"/>
            <w:vAlign w:val="center"/>
          </w:tcPr>
          <w:p/>
        </w:tc>
        <w:tc>
          <w:tcPr>
            <w:tcW w:w="889" w:type="dxa"/>
            <w:vMerge w:val="continue"/>
            <w:noWrap w:val="0"/>
            <w:vAlign w:val="center"/>
          </w:tcPr>
          <w:p/>
        </w:tc>
        <w:tc>
          <w:tcPr>
            <w:tcW w:w="3265" w:type="dxa"/>
            <w:noWrap w:val="0"/>
            <w:vAlign w:val="center"/>
          </w:tcPr>
          <w:p>
            <w:pPr>
              <w:rPr>
                <w:rFonts w:hint="default" w:eastAsia="宋体"/>
                <w:lang w:val="en-US" w:eastAsia="zh-CN"/>
              </w:rPr>
            </w:pPr>
            <w:r>
              <w:rPr>
                <w:rFonts w:hint="eastAsia"/>
              </w:rPr>
              <w:t>社会满意度（调</w:t>
            </w:r>
            <w:r>
              <w:rPr>
                <w:rFonts w:hint="eastAsia" w:ascii="宋体" w:cs="宋体"/>
                <w:kern w:val="0"/>
                <w:szCs w:val="21"/>
              </w:rPr>
              <w:t>查满意率）</w:t>
            </w:r>
            <w:r>
              <w:rPr>
                <w:rFonts w:hint="eastAsia" w:ascii="宋体" w:cs="宋体"/>
                <w:kern w:val="0"/>
                <w:szCs w:val="21"/>
                <w:lang w:val="en-US" w:eastAsia="zh-CN"/>
              </w:rPr>
              <w:t>95%</w:t>
            </w:r>
          </w:p>
        </w:tc>
        <w:tc>
          <w:tcPr>
            <w:tcW w:w="2278" w:type="dxa"/>
            <w:noWrap w:val="0"/>
            <w:vAlign w:val="center"/>
          </w:tcPr>
          <w:p>
            <w:pPr>
              <w:widowControl/>
              <w:spacing w:line="320" w:lineRule="exact"/>
              <w:jc w:val="left"/>
              <w:rPr>
                <w:rFonts w:hint="default" w:ascii="宋体" w:cs="宋体"/>
                <w:kern w:val="0"/>
                <w:szCs w:val="21"/>
                <w:lang w:val="en-US"/>
              </w:rPr>
            </w:pPr>
            <w:r>
              <w:rPr>
                <w:rFonts w:hint="eastAsia"/>
              </w:rPr>
              <w:t>社会满意度（调</w:t>
            </w:r>
            <w:r>
              <w:rPr>
                <w:rFonts w:hint="eastAsia" w:ascii="宋体" w:cs="宋体"/>
                <w:kern w:val="0"/>
                <w:szCs w:val="21"/>
              </w:rPr>
              <w:t>查满意率）</w:t>
            </w:r>
            <w:r>
              <w:rPr>
                <w:rFonts w:hint="eastAsia" w:ascii="宋体" w:cs="宋体"/>
                <w:kern w:val="0"/>
                <w:szCs w:val="21"/>
                <w:lang w:eastAsia="zh-CN"/>
              </w:rPr>
              <w:t>达</w:t>
            </w:r>
            <w:r>
              <w:rPr>
                <w:rFonts w:hint="eastAsia" w:ascii="宋体" w:cs="宋体"/>
                <w:kern w:val="0"/>
                <w:szCs w:val="21"/>
                <w:lang w:val="en-US" w:eastAsia="zh-CN"/>
              </w:rPr>
              <w:t>95%得3分，满意度每下降5%扣0.5分，扣完即止</w:t>
            </w:r>
          </w:p>
        </w:tc>
        <w:tc>
          <w:tcPr>
            <w:tcW w:w="586" w:type="dxa"/>
            <w:noWrap w:val="0"/>
            <w:vAlign w:val="center"/>
          </w:tcPr>
          <w:p>
            <w:r>
              <w:rPr>
                <w:rFonts w:hint="eastAsia" w:ascii="宋体" w:cs="宋体"/>
                <w:kern w:val="0"/>
                <w:szCs w:val="21"/>
                <w:lang w:val="en-US" w:eastAsia="zh-CN"/>
              </w:rPr>
              <w:t>3</w:t>
            </w:r>
          </w:p>
        </w:tc>
        <w:tc>
          <w:tcPr>
            <w:tcW w:w="673" w:type="dxa"/>
            <w:noWrap w:val="0"/>
            <w:vAlign w:val="center"/>
          </w:tcPr>
          <w:p>
            <w:pPr>
              <w:jc w:val="center"/>
            </w:pPr>
            <w:r>
              <w:rPr>
                <w:rFonts w:hint="eastAsia" w:ascii="宋体" w:cs="宋体"/>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75" w:type="dxa"/>
            <w:noWrap w:val="0"/>
            <w:textDirection w:val="tbRlV"/>
            <w:vAlign w:val="center"/>
          </w:tcPr>
          <w:p>
            <w:pPr>
              <w:widowControl/>
              <w:spacing w:line="320" w:lineRule="exact"/>
              <w:jc w:val="center"/>
              <w:rPr>
                <w:rFonts w:ascii="宋体" w:cs="宋体"/>
                <w:kern w:val="0"/>
                <w:szCs w:val="21"/>
              </w:rPr>
            </w:pPr>
            <w:r>
              <w:rPr>
                <w:rFonts w:hint="eastAsia" w:ascii="宋体" w:cs="宋体"/>
                <w:kern w:val="0"/>
                <w:szCs w:val="21"/>
              </w:rPr>
              <w:t>合计</w:t>
            </w:r>
          </w:p>
        </w:tc>
        <w:tc>
          <w:tcPr>
            <w:tcW w:w="709" w:type="dxa"/>
            <w:noWrap w:val="0"/>
            <w:vAlign w:val="center"/>
          </w:tcPr>
          <w:p>
            <w:pPr>
              <w:widowControl/>
              <w:spacing w:line="320" w:lineRule="exact"/>
              <w:jc w:val="center"/>
              <w:rPr>
                <w:rFonts w:ascii="宋体" w:cs="宋体"/>
                <w:kern w:val="0"/>
                <w:szCs w:val="21"/>
              </w:rPr>
            </w:pPr>
          </w:p>
        </w:tc>
        <w:tc>
          <w:tcPr>
            <w:tcW w:w="614" w:type="dxa"/>
            <w:noWrap w:val="0"/>
            <w:vAlign w:val="center"/>
          </w:tcPr>
          <w:p>
            <w:pPr>
              <w:widowControl/>
              <w:spacing w:line="320" w:lineRule="exact"/>
              <w:jc w:val="center"/>
              <w:rPr>
                <w:rFonts w:ascii="宋体" w:cs="宋体"/>
                <w:kern w:val="0"/>
                <w:szCs w:val="21"/>
              </w:rPr>
            </w:pPr>
            <w:r>
              <w:rPr>
                <w:rFonts w:hint="eastAsia" w:ascii="宋体" w:cs="宋体"/>
                <w:kern w:val="0"/>
                <w:szCs w:val="21"/>
              </w:rPr>
              <w:t>100</w:t>
            </w:r>
          </w:p>
        </w:tc>
        <w:tc>
          <w:tcPr>
            <w:tcW w:w="889" w:type="dxa"/>
            <w:noWrap w:val="0"/>
            <w:vAlign w:val="center"/>
          </w:tcPr>
          <w:p>
            <w:pPr>
              <w:widowControl/>
              <w:spacing w:line="320" w:lineRule="exact"/>
              <w:jc w:val="center"/>
              <w:rPr>
                <w:rFonts w:ascii="宋体" w:cs="宋体"/>
                <w:kern w:val="0"/>
                <w:szCs w:val="21"/>
              </w:rPr>
            </w:pPr>
          </w:p>
        </w:tc>
        <w:tc>
          <w:tcPr>
            <w:tcW w:w="3265" w:type="dxa"/>
            <w:noWrap w:val="0"/>
            <w:vAlign w:val="center"/>
          </w:tcPr>
          <w:p>
            <w:pPr>
              <w:widowControl/>
              <w:spacing w:line="240" w:lineRule="exact"/>
              <w:jc w:val="left"/>
              <w:rPr>
                <w:rFonts w:ascii="宋体" w:cs="宋体"/>
                <w:kern w:val="0"/>
                <w:szCs w:val="21"/>
              </w:rPr>
            </w:pPr>
          </w:p>
        </w:tc>
        <w:tc>
          <w:tcPr>
            <w:tcW w:w="2278" w:type="dxa"/>
            <w:noWrap w:val="0"/>
            <w:vAlign w:val="center"/>
          </w:tcPr>
          <w:p>
            <w:pPr>
              <w:widowControl/>
              <w:spacing w:line="240" w:lineRule="exact"/>
              <w:jc w:val="left"/>
              <w:rPr>
                <w:rFonts w:ascii="宋体" w:cs="宋体"/>
                <w:kern w:val="0"/>
                <w:szCs w:val="21"/>
              </w:rPr>
            </w:pPr>
          </w:p>
        </w:tc>
        <w:tc>
          <w:tcPr>
            <w:tcW w:w="586" w:type="dxa"/>
            <w:noWrap w:val="0"/>
            <w:vAlign w:val="center"/>
          </w:tcPr>
          <w:p>
            <w:pPr>
              <w:widowControl/>
              <w:spacing w:line="240" w:lineRule="exact"/>
              <w:jc w:val="center"/>
              <w:rPr>
                <w:rFonts w:ascii="宋体" w:cs="宋体"/>
                <w:kern w:val="0"/>
                <w:szCs w:val="21"/>
              </w:rPr>
            </w:pPr>
            <w:r>
              <w:rPr>
                <w:rFonts w:hint="eastAsia" w:ascii="宋体" w:cs="宋体"/>
                <w:kern w:val="0"/>
                <w:szCs w:val="21"/>
              </w:rPr>
              <w:t>100</w:t>
            </w:r>
          </w:p>
        </w:tc>
        <w:tc>
          <w:tcPr>
            <w:tcW w:w="673" w:type="dxa"/>
            <w:noWrap w:val="0"/>
            <w:vAlign w:val="center"/>
          </w:tcPr>
          <w:p>
            <w:pPr>
              <w:widowControl/>
              <w:spacing w:line="240" w:lineRule="exact"/>
              <w:jc w:val="center"/>
              <w:rPr>
                <w:rFonts w:hint="default" w:ascii="宋体" w:eastAsia="宋体" w:cs="宋体"/>
                <w:kern w:val="0"/>
                <w:szCs w:val="21"/>
                <w:lang w:val="en-US" w:eastAsia="zh-CN"/>
              </w:rPr>
            </w:pPr>
            <w:r>
              <w:rPr>
                <w:rFonts w:hint="eastAsia" w:ascii="宋体" w:cs="宋体"/>
                <w:kern w:val="0"/>
                <w:szCs w:val="21"/>
                <w:lang w:val="en-US" w:eastAsia="zh-CN"/>
              </w:rPr>
              <w:t>98</w:t>
            </w:r>
          </w:p>
        </w:tc>
      </w:tr>
    </w:tbl>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5A7712"/>
    <w:multiLevelType w:val="singleLevel"/>
    <w:tmpl w:val="1D5A771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FmZGIzYjA4OThjMDQ4NzRkMDQxMWI0NDhhODIwZjAifQ=="/>
  </w:docVars>
  <w:rsids>
    <w:rsidRoot w:val="00000000"/>
    <w:rsid w:val="017401B5"/>
    <w:rsid w:val="02146A06"/>
    <w:rsid w:val="03086AA8"/>
    <w:rsid w:val="03901C84"/>
    <w:rsid w:val="06AA5257"/>
    <w:rsid w:val="07B205CB"/>
    <w:rsid w:val="08E6788B"/>
    <w:rsid w:val="095B0FEE"/>
    <w:rsid w:val="0B764DCF"/>
    <w:rsid w:val="0BA97D13"/>
    <w:rsid w:val="0DC161D1"/>
    <w:rsid w:val="0E3A7D97"/>
    <w:rsid w:val="14127740"/>
    <w:rsid w:val="17276132"/>
    <w:rsid w:val="17311BD5"/>
    <w:rsid w:val="1853036D"/>
    <w:rsid w:val="18EE0096"/>
    <w:rsid w:val="19D6682A"/>
    <w:rsid w:val="1B0B13D3"/>
    <w:rsid w:val="1C0F0B6B"/>
    <w:rsid w:val="1C6C2B3F"/>
    <w:rsid w:val="1E112B8F"/>
    <w:rsid w:val="1F947BE9"/>
    <w:rsid w:val="212C5C7E"/>
    <w:rsid w:val="271621A9"/>
    <w:rsid w:val="28773C04"/>
    <w:rsid w:val="2B3B0BC4"/>
    <w:rsid w:val="2CE236B9"/>
    <w:rsid w:val="2EAE6C4B"/>
    <w:rsid w:val="2ED4282E"/>
    <w:rsid w:val="2EF813DB"/>
    <w:rsid w:val="2F3709C5"/>
    <w:rsid w:val="2FD87C31"/>
    <w:rsid w:val="305C23F3"/>
    <w:rsid w:val="31A35157"/>
    <w:rsid w:val="321C6473"/>
    <w:rsid w:val="32DD0307"/>
    <w:rsid w:val="33DB73A5"/>
    <w:rsid w:val="36257395"/>
    <w:rsid w:val="384F0EE0"/>
    <w:rsid w:val="39BD1E58"/>
    <w:rsid w:val="3B9F3746"/>
    <w:rsid w:val="3BC1540C"/>
    <w:rsid w:val="3E506F79"/>
    <w:rsid w:val="407D1B7C"/>
    <w:rsid w:val="41EA3241"/>
    <w:rsid w:val="42246753"/>
    <w:rsid w:val="43851473"/>
    <w:rsid w:val="440B6784"/>
    <w:rsid w:val="442E5667"/>
    <w:rsid w:val="491F540E"/>
    <w:rsid w:val="493E6E6A"/>
    <w:rsid w:val="49C93FA8"/>
    <w:rsid w:val="4A58343D"/>
    <w:rsid w:val="4BB22C33"/>
    <w:rsid w:val="4DF34867"/>
    <w:rsid w:val="4E64070B"/>
    <w:rsid w:val="4F2B398B"/>
    <w:rsid w:val="50D457E8"/>
    <w:rsid w:val="526A596C"/>
    <w:rsid w:val="53C644EF"/>
    <w:rsid w:val="53D30905"/>
    <w:rsid w:val="577F54A2"/>
    <w:rsid w:val="5A294DD1"/>
    <w:rsid w:val="5C943DF3"/>
    <w:rsid w:val="612E6A1B"/>
    <w:rsid w:val="62EF64B1"/>
    <w:rsid w:val="62F13FD7"/>
    <w:rsid w:val="652C7270"/>
    <w:rsid w:val="6708589D"/>
    <w:rsid w:val="67317098"/>
    <w:rsid w:val="68C656C9"/>
    <w:rsid w:val="6B841E74"/>
    <w:rsid w:val="6C040F0E"/>
    <w:rsid w:val="6FE03BE8"/>
    <w:rsid w:val="7282631B"/>
    <w:rsid w:val="77DC1D90"/>
    <w:rsid w:val="784B5AE0"/>
    <w:rsid w:val="79400312"/>
    <w:rsid w:val="79755BD4"/>
    <w:rsid w:val="7B4D1357"/>
    <w:rsid w:val="7BCD6656"/>
    <w:rsid w:val="7DCC7FF1"/>
    <w:rsid w:val="7F2725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toa heading"/>
    <w:basedOn w:val="1"/>
    <w:next w:val="1"/>
    <w:qFormat/>
    <w:uiPriority w:val="0"/>
    <w:rPr>
      <w:rFonts w:ascii="Arial" w:hAnsi="Arial"/>
      <w:sz w:val="24"/>
    </w:rPr>
  </w:style>
  <w:style w:type="paragraph" w:styleId="3">
    <w:name w:val="Body Text Indent"/>
    <w:basedOn w:val="1"/>
    <w:unhideWhenUsed/>
    <w:qFormat/>
    <w:uiPriority w:val="0"/>
    <w:pPr>
      <w:spacing w:after="120"/>
      <w:ind w:left="420" w:leftChars="200"/>
    </w:pPr>
    <w:rPr>
      <w:rFonts w:hint="default"/>
      <w:sz w:val="21"/>
      <w:szCs w:val="24"/>
    </w:rPr>
  </w:style>
  <w:style w:type="paragraph" w:styleId="4">
    <w:name w:val="Body Text First Indent 2"/>
    <w:basedOn w:val="3"/>
    <w:unhideWhenUsed/>
    <w:qFormat/>
    <w:uiPriority w:val="0"/>
    <w:pPr>
      <w:ind w:firstLine="420" w:firstLineChars="200"/>
    </w:pPr>
    <w:rPr>
      <w:rFonts w:hint="default" w:eastAsia="仿宋_GB2312"/>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3832</Words>
  <Characters>4334</Characters>
  <Lines>0</Lines>
  <Paragraphs>0</Paragraphs>
  <TotalTime>7</TotalTime>
  <ScaleCrop>false</ScaleCrop>
  <LinksUpToDate>false</LinksUpToDate>
  <CharactersWithSpaces>4481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2023-05-29T01:15:11Z</dcterms:created>
  <dc:creator>Administrator</dc:creator>
  <cp:lastModifiedBy>Administrator</cp:lastModifiedBy>
  <dcterms:modified xsi:type="dcterms:W3CDTF">2023-08-29T07:37:30Z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4EA6E61D54B24D61B0D2C7C60AD8AC43_13</vt:lpwstr>
  </property>
</Properties>
</file>