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ascii="方正小标宋_GBK" w:eastAsia="方正小标宋_GBK" w:cs="方正小标宋_GBK"/>
          <w:sz w:val="44"/>
          <w:szCs w:val="44"/>
        </w:rPr>
      </w:pPr>
      <w:bookmarkStart w:id="0" w:name="_GoBack"/>
      <w:bookmarkEnd w:id="0"/>
      <w:r>
        <w:rPr>
          <w:rFonts w:hint="eastAsia" w:ascii="方正小标宋_GBK" w:eastAsia="方正小标宋_GBK" w:cs="方正小标宋_GBK"/>
          <w:sz w:val="44"/>
          <w:szCs w:val="44"/>
          <w:lang w:eastAsia="zh-CN"/>
        </w:rPr>
        <w:t>湘潭市市场监督管理局</w:t>
      </w:r>
      <w:r>
        <w:rPr>
          <w:rFonts w:hint="eastAsia" w:ascii="方正小标宋_GBK" w:eastAsia="方正小标宋_GBK" w:cs="方正小标宋_GBK"/>
          <w:bCs/>
          <w:sz w:val="44"/>
          <w:szCs w:val="44"/>
        </w:rPr>
        <w:t>部门整体预算绩效评价报告</w:t>
      </w:r>
    </w:p>
    <w:tbl>
      <w:tblPr>
        <w:tblStyle w:val="7"/>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372"/>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部门概况</w:t>
            </w:r>
          </w:p>
        </w:tc>
        <w:tc>
          <w:tcPr>
            <w:tcW w:w="2372" w:type="dxa"/>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单位名称</w:t>
            </w:r>
          </w:p>
        </w:tc>
        <w:tc>
          <w:tcPr>
            <w:tcW w:w="5670" w:type="dxa"/>
            <w:noWrap w:val="0"/>
            <w:vAlign w:val="center"/>
          </w:tcPr>
          <w:p>
            <w:pPr>
              <w:spacing w:line="576" w:lineRule="exact"/>
              <w:ind w:right="880" w:rightChars="419"/>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湘潭市市场监督管理局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rPr>
                <w:rFonts w:hint="eastAsia" w:ascii="仿宋" w:hAnsi="仿宋" w:eastAsia="仿宋" w:cs="仿宋"/>
                <w:sz w:val="32"/>
                <w:szCs w:val="32"/>
              </w:rPr>
            </w:pPr>
          </w:p>
        </w:tc>
        <w:tc>
          <w:tcPr>
            <w:tcW w:w="2372" w:type="dxa"/>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年度预算金额</w:t>
            </w:r>
          </w:p>
        </w:tc>
        <w:tc>
          <w:tcPr>
            <w:tcW w:w="5670" w:type="dxa"/>
            <w:noWrap w:val="0"/>
            <w:vAlign w:val="center"/>
          </w:tcPr>
          <w:p>
            <w:pPr>
              <w:spacing w:line="576" w:lineRule="exact"/>
              <w:ind w:right="880" w:rightChars="419"/>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9865.43万元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rPr>
                <w:rFonts w:hint="eastAsia" w:ascii="仿宋" w:hAnsi="仿宋" w:eastAsia="仿宋" w:cs="仿宋"/>
                <w:sz w:val="32"/>
                <w:szCs w:val="32"/>
              </w:rPr>
            </w:pPr>
          </w:p>
        </w:tc>
        <w:tc>
          <w:tcPr>
            <w:tcW w:w="2372" w:type="dxa"/>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主管部门</w:t>
            </w:r>
          </w:p>
        </w:tc>
        <w:tc>
          <w:tcPr>
            <w:tcW w:w="5670" w:type="dxa"/>
            <w:noWrap w:val="0"/>
            <w:vAlign w:val="center"/>
          </w:tcPr>
          <w:p>
            <w:pPr>
              <w:spacing w:line="576" w:lineRule="exact"/>
              <w:ind w:right="880" w:rightChars="419"/>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rPr>
                <w:rFonts w:hint="eastAsia" w:ascii="仿宋" w:hAnsi="仿宋" w:eastAsia="仿宋" w:cs="仿宋"/>
                <w:sz w:val="32"/>
                <w:szCs w:val="32"/>
              </w:rPr>
            </w:pPr>
          </w:p>
        </w:tc>
        <w:tc>
          <w:tcPr>
            <w:tcW w:w="2372" w:type="dxa"/>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单位基本职能</w:t>
            </w:r>
          </w:p>
        </w:tc>
        <w:tc>
          <w:tcPr>
            <w:tcW w:w="5670" w:type="dxa"/>
            <w:noWrap w:val="0"/>
            <w:vAlign w:val="center"/>
          </w:tcPr>
          <w:p>
            <w:pPr>
              <w:tabs>
                <w:tab w:val="left" w:pos="5040"/>
              </w:tabs>
              <w:ind w:right="67" w:rightChars="32" w:firstLine="480" w:firstLineChars="200"/>
              <w:jc w:val="left"/>
              <w:rPr>
                <w:rFonts w:hint="eastAsia" w:ascii="宋体" w:hAnsi="宋体" w:cs="宋体"/>
                <w:sz w:val="24"/>
              </w:rPr>
            </w:pPr>
            <w:r>
              <w:rPr>
                <w:rFonts w:hint="eastAsia" w:ascii="宋体" w:hAnsi="宋体" w:cs="宋体"/>
                <w:sz w:val="24"/>
              </w:rPr>
              <w:t>1、负责市场综合监督管理。2、负责市场主体统一登记注册。3、负责权限内的食品药品（含中药、民族药，下同）、医疗器械、特种设备、计量器具许可管理。4、负责组织和指导市场监管综合执法工作。5、负责反垄断执法调查。6、负责监督管理市场秩序。7、负责宏观质量管理。8、负责产品质量安全监督管理。9、负责特种设备安全监督管理。10、负责食品安全监督管理综合协调。11、负责食品安全监督管理。12、负责权限范围内药品、医疗器械和化妆品标准管理和质量管理。 13、负责药品、医疗器械和化妆品安全监督管理。14、负责权限范围内的药品、医疗器械和化妆品上市后风险管理。15、负责统一管理计量工作。16、负责统一管理标准化工作。17、负责统一管理检验检测工作。18、负责统一管理、监督和综合协调认证认可工作。19、负责市场监督管理、知识产权领域科技和信息化建设、新闻宣传、对外交流与合作。20、负责实施知识产权战略，推进知识产权强市建设。21、负责保护知识产权。22、负责知识产权创造运用。23、负责组织开展有关服务领域消费维权工作，查处制售假冒伪劣等违法行为，指导消费者咨询、申诉、举报受理、处理和网络体系建设等工作，保护经营者、消费者合法权益。24、完成市委、市政府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绩效完成情况</w:t>
            </w:r>
          </w:p>
        </w:tc>
        <w:tc>
          <w:tcPr>
            <w:tcW w:w="2372" w:type="dxa"/>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部门整体支出管理和使用基本情况</w:t>
            </w:r>
          </w:p>
        </w:tc>
        <w:tc>
          <w:tcPr>
            <w:tcW w:w="5670" w:type="dxa"/>
            <w:noWrap w:val="0"/>
            <w:vAlign w:val="center"/>
          </w:tcPr>
          <w:p>
            <w:pPr>
              <w:tabs>
                <w:tab w:val="left" w:pos="5040"/>
              </w:tabs>
              <w:ind w:right="67" w:rightChars="32" w:firstLine="480" w:firstLineChars="200"/>
              <w:jc w:val="left"/>
              <w:rPr>
                <w:rFonts w:hint="eastAsia" w:ascii="宋体" w:hAnsi="宋体" w:cs="宋体"/>
                <w:sz w:val="24"/>
                <w:highlight w:val="none"/>
              </w:rPr>
            </w:pPr>
            <w:r>
              <w:rPr>
                <w:rFonts w:hint="eastAsia" w:ascii="宋体" w:hAnsi="宋体" w:cs="宋体"/>
                <w:sz w:val="24"/>
              </w:rPr>
              <w:t>1、年初</w:t>
            </w:r>
            <w:r>
              <w:rPr>
                <w:rFonts w:hint="eastAsia" w:ascii="宋体" w:hAnsi="宋体" w:cs="宋体"/>
                <w:sz w:val="24"/>
                <w:highlight w:val="none"/>
              </w:rPr>
              <w:t>预算安排：年初财政预算拨款</w:t>
            </w:r>
            <w:r>
              <w:rPr>
                <w:rFonts w:hint="eastAsia" w:ascii="宋体" w:hAnsi="宋体" w:cs="宋体"/>
                <w:sz w:val="24"/>
                <w:highlight w:val="none"/>
                <w:lang w:val="en-US" w:eastAsia="zh-CN"/>
              </w:rPr>
              <w:t>5911.7</w:t>
            </w:r>
            <w:r>
              <w:rPr>
                <w:rFonts w:hint="eastAsia" w:ascii="宋体" w:hAnsi="宋体" w:cs="宋体"/>
                <w:sz w:val="24"/>
                <w:highlight w:val="none"/>
              </w:rPr>
              <w:t>万元，非税收入拨款</w:t>
            </w:r>
            <w:r>
              <w:rPr>
                <w:rFonts w:hint="eastAsia" w:ascii="宋体" w:hAnsi="宋体" w:cs="宋体"/>
                <w:sz w:val="24"/>
                <w:highlight w:val="none"/>
                <w:lang w:val="en-US" w:eastAsia="zh-CN"/>
              </w:rPr>
              <w:t>476.8</w:t>
            </w:r>
            <w:r>
              <w:rPr>
                <w:rFonts w:hint="eastAsia" w:ascii="宋体" w:hAnsi="宋体" w:cs="宋体"/>
                <w:sz w:val="24"/>
                <w:highlight w:val="none"/>
              </w:rPr>
              <w:t>万元，共计</w:t>
            </w:r>
            <w:r>
              <w:rPr>
                <w:rFonts w:hint="eastAsia" w:ascii="宋体" w:hAnsi="宋体" w:cs="宋体"/>
                <w:sz w:val="24"/>
                <w:highlight w:val="none"/>
                <w:lang w:val="en-US" w:eastAsia="zh-CN"/>
              </w:rPr>
              <w:t>6388.5</w:t>
            </w:r>
            <w:r>
              <w:rPr>
                <w:rFonts w:hint="eastAsia" w:ascii="宋体" w:hAnsi="宋体" w:cs="宋体"/>
                <w:sz w:val="24"/>
                <w:highlight w:val="none"/>
              </w:rPr>
              <w:t>万元。</w:t>
            </w:r>
          </w:p>
          <w:p>
            <w:pPr>
              <w:tabs>
                <w:tab w:val="left" w:pos="5040"/>
              </w:tabs>
              <w:ind w:right="67" w:rightChars="32" w:firstLine="480" w:firstLineChars="200"/>
              <w:jc w:val="left"/>
              <w:rPr>
                <w:rFonts w:hint="eastAsia" w:ascii="宋体" w:hAnsi="宋体" w:cs="宋体"/>
                <w:sz w:val="24"/>
                <w:highlight w:val="none"/>
              </w:rPr>
            </w:pPr>
            <w:r>
              <w:rPr>
                <w:rFonts w:hint="eastAsia" w:ascii="宋体" w:hAnsi="宋体" w:cs="宋体"/>
                <w:sz w:val="24"/>
                <w:highlight w:val="none"/>
              </w:rPr>
              <w:t>2、年中预算调整：年中追加</w:t>
            </w:r>
            <w:r>
              <w:rPr>
                <w:rFonts w:hint="eastAsia" w:ascii="宋体" w:hAnsi="宋体" w:cs="宋体"/>
                <w:sz w:val="24"/>
                <w:highlight w:val="none"/>
                <w:lang w:val="en-US" w:eastAsia="zh-CN"/>
              </w:rPr>
              <w:t>3953.73</w:t>
            </w:r>
            <w:r>
              <w:rPr>
                <w:rFonts w:hint="eastAsia" w:ascii="宋体" w:hAnsi="宋体" w:cs="宋体"/>
                <w:sz w:val="24"/>
                <w:highlight w:val="none"/>
              </w:rPr>
              <w:t>万元，其中</w:t>
            </w:r>
            <w:r>
              <w:rPr>
                <w:rFonts w:hint="eastAsia" w:ascii="宋体" w:hAnsi="宋体" w:cs="宋体"/>
                <w:sz w:val="24"/>
                <w:highlight w:val="none"/>
                <w:lang w:eastAsia="zh-CN"/>
              </w:rPr>
              <w:t>上年结转项目经费</w:t>
            </w:r>
            <w:r>
              <w:rPr>
                <w:rFonts w:hint="eastAsia" w:ascii="宋体" w:hAnsi="宋体" w:cs="宋体"/>
                <w:sz w:val="24"/>
                <w:highlight w:val="none"/>
                <w:lang w:val="en-US" w:eastAsia="zh-CN"/>
              </w:rPr>
              <w:t>770.29万元，</w:t>
            </w:r>
            <w:r>
              <w:rPr>
                <w:rFonts w:hint="eastAsia" w:ascii="宋体" w:hAnsi="宋体" w:cs="宋体"/>
                <w:sz w:val="24"/>
                <w:highlight w:val="none"/>
              </w:rPr>
              <w:t>非税收入拨款</w:t>
            </w:r>
            <w:r>
              <w:rPr>
                <w:rFonts w:hint="eastAsia" w:ascii="宋体" w:hAnsi="宋体" w:cs="宋体"/>
                <w:sz w:val="24"/>
                <w:highlight w:val="none"/>
                <w:lang w:val="en-US" w:eastAsia="zh-CN"/>
              </w:rPr>
              <w:t>240万元</w:t>
            </w:r>
            <w:r>
              <w:rPr>
                <w:rFonts w:hint="eastAsia" w:ascii="宋体" w:hAnsi="宋体" w:cs="宋体"/>
                <w:sz w:val="24"/>
                <w:highlight w:val="none"/>
              </w:rPr>
              <w:t>，</w:t>
            </w:r>
            <w:r>
              <w:rPr>
                <w:rFonts w:hint="eastAsia" w:ascii="宋体" w:hAnsi="宋体" w:cs="宋体"/>
                <w:sz w:val="24"/>
                <w:highlight w:val="none"/>
                <w:lang w:eastAsia="zh-CN"/>
              </w:rPr>
              <w:t>按政策</w:t>
            </w:r>
            <w:r>
              <w:rPr>
                <w:rFonts w:hint="eastAsia" w:ascii="宋体" w:hAnsi="宋体" w:cs="宋体"/>
                <w:sz w:val="24"/>
                <w:highlight w:val="none"/>
              </w:rPr>
              <w:t>追加</w:t>
            </w:r>
            <w:r>
              <w:rPr>
                <w:rFonts w:hint="eastAsia" w:ascii="宋体" w:hAnsi="宋体" w:cs="宋体"/>
                <w:sz w:val="24"/>
                <w:highlight w:val="none"/>
                <w:lang w:eastAsia="zh-CN"/>
              </w:rPr>
              <w:t>基本支出</w:t>
            </w:r>
            <w:r>
              <w:rPr>
                <w:rFonts w:hint="eastAsia" w:ascii="宋体" w:hAnsi="宋体" w:cs="宋体"/>
                <w:sz w:val="24"/>
                <w:highlight w:val="none"/>
                <w:lang w:val="en-US" w:eastAsia="zh-CN"/>
              </w:rPr>
              <w:t>1535.03</w:t>
            </w:r>
            <w:r>
              <w:rPr>
                <w:rFonts w:hint="eastAsia" w:ascii="宋体" w:hAnsi="宋体" w:cs="宋体"/>
                <w:sz w:val="24"/>
                <w:highlight w:val="none"/>
              </w:rPr>
              <w:t>万元，落实相关政策追加</w:t>
            </w:r>
            <w:r>
              <w:rPr>
                <w:rFonts w:hint="eastAsia" w:ascii="宋体" w:hAnsi="宋体" w:cs="宋体"/>
                <w:sz w:val="24"/>
                <w:highlight w:val="none"/>
                <w:lang w:val="en-US" w:eastAsia="zh-CN"/>
              </w:rPr>
              <w:t>1408.4</w:t>
            </w:r>
            <w:r>
              <w:rPr>
                <w:rFonts w:hint="eastAsia" w:ascii="宋体" w:hAnsi="宋体" w:cs="宋体"/>
                <w:sz w:val="24"/>
                <w:highlight w:val="none"/>
              </w:rPr>
              <w:t>万元。</w:t>
            </w:r>
          </w:p>
          <w:p>
            <w:pPr>
              <w:tabs>
                <w:tab w:val="left" w:pos="5040"/>
              </w:tabs>
              <w:ind w:right="67" w:rightChars="32" w:firstLine="480" w:firstLineChars="200"/>
              <w:jc w:val="left"/>
              <w:rPr>
                <w:rFonts w:hint="default" w:ascii="宋体" w:hAnsi="宋体" w:eastAsia="宋体" w:cs="宋体"/>
                <w:sz w:val="24"/>
                <w:highlight w:val="none"/>
                <w:lang w:val="en-US" w:eastAsia="zh-CN"/>
              </w:rPr>
            </w:pPr>
            <w:r>
              <w:rPr>
                <w:rFonts w:hint="eastAsia" w:ascii="宋体" w:hAnsi="宋体" w:cs="宋体"/>
                <w:sz w:val="24"/>
                <w:highlight w:val="none"/>
              </w:rPr>
              <w:t>3、预算执行情况：</w:t>
            </w:r>
            <w:r>
              <w:rPr>
                <w:rFonts w:hint="eastAsia" w:ascii="宋体" w:hAnsi="宋体" w:cs="宋体"/>
                <w:sz w:val="24"/>
                <w:highlight w:val="none"/>
                <w:lang w:eastAsia="zh-CN"/>
              </w:rPr>
              <w:t>年度预算金额</w:t>
            </w:r>
            <w:r>
              <w:rPr>
                <w:rFonts w:hint="eastAsia" w:ascii="宋体" w:hAnsi="宋体" w:cs="宋体"/>
                <w:sz w:val="24"/>
                <w:highlight w:val="none"/>
                <w:lang w:val="en-US" w:eastAsia="zh-CN"/>
              </w:rPr>
              <w:t>9865.43万元，</w:t>
            </w:r>
            <w:r>
              <w:rPr>
                <w:rFonts w:hint="eastAsia" w:ascii="宋体" w:hAnsi="宋体" w:cs="宋体"/>
                <w:sz w:val="24"/>
                <w:highlight w:val="none"/>
              </w:rPr>
              <w:t>全年财政拨款支出</w:t>
            </w:r>
            <w:r>
              <w:rPr>
                <w:rFonts w:hint="eastAsia" w:ascii="宋体" w:hAnsi="宋体" w:cs="宋体"/>
                <w:sz w:val="24"/>
                <w:highlight w:val="none"/>
                <w:lang w:val="en-US" w:eastAsia="zh-CN"/>
              </w:rPr>
              <w:t>8544.02</w:t>
            </w:r>
            <w:r>
              <w:rPr>
                <w:rFonts w:hint="eastAsia" w:ascii="宋体" w:hAnsi="宋体" w:cs="宋体"/>
                <w:sz w:val="24"/>
                <w:highlight w:val="none"/>
              </w:rPr>
              <w:t>万元，其中基本支出</w:t>
            </w:r>
            <w:r>
              <w:rPr>
                <w:rFonts w:hint="eastAsia" w:ascii="宋体" w:hAnsi="宋体" w:cs="宋体"/>
                <w:sz w:val="24"/>
                <w:highlight w:val="none"/>
                <w:lang w:val="en-US" w:eastAsia="zh-CN"/>
              </w:rPr>
              <w:t>5719.94</w:t>
            </w:r>
            <w:r>
              <w:rPr>
                <w:rFonts w:hint="eastAsia" w:ascii="宋体" w:hAnsi="宋体" w:cs="宋体"/>
                <w:sz w:val="24"/>
                <w:highlight w:val="none"/>
              </w:rPr>
              <w:t>万元；项目支出</w:t>
            </w:r>
            <w:r>
              <w:rPr>
                <w:rFonts w:hint="eastAsia" w:ascii="宋体" w:hAnsi="宋体" w:cs="宋体"/>
                <w:sz w:val="24"/>
                <w:highlight w:val="none"/>
                <w:lang w:val="en-US" w:eastAsia="zh-CN"/>
              </w:rPr>
              <w:t>2824.08</w:t>
            </w:r>
            <w:r>
              <w:rPr>
                <w:rFonts w:hint="eastAsia" w:ascii="宋体" w:hAnsi="宋体" w:cs="宋体"/>
                <w:sz w:val="24"/>
                <w:highlight w:val="none"/>
              </w:rPr>
              <w:t>万元。</w:t>
            </w:r>
            <w:r>
              <w:rPr>
                <w:rFonts w:hint="eastAsia" w:ascii="宋体" w:hAnsi="宋体" w:cs="宋体"/>
                <w:sz w:val="24"/>
                <w:highlight w:val="none"/>
                <w:lang w:eastAsia="zh-CN"/>
              </w:rPr>
              <w:t>差异形成原因：</w:t>
            </w:r>
            <w:r>
              <w:rPr>
                <w:rFonts w:hint="eastAsia" w:ascii="宋体" w:hAnsi="宋体" w:cs="宋体"/>
                <w:sz w:val="24"/>
                <w:highlight w:val="none"/>
                <w:lang w:val="en-US" w:eastAsia="zh-CN"/>
              </w:rPr>
              <w:t>一是部分款项因年底财政支付原因未支付成功；二是项目还未完成，资金结转至来年使用。</w:t>
            </w:r>
          </w:p>
          <w:p>
            <w:pPr>
              <w:tabs>
                <w:tab w:val="left" w:pos="5040"/>
              </w:tabs>
              <w:ind w:right="67" w:rightChars="32" w:firstLine="480" w:firstLineChars="200"/>
              <w:jc w:val="left"/>
              <w:rPr>
                <w:rFonts w:hint="eastAsia" w:ascii="宋体" w:hAnsi="宋体" w:cs="宋体"/>
                <w:sz w:val="24"/>
              </w:rPr>
            </w:pPr>
            <w:r>
              <w:rPr>
                <w:rFonts w:hint="eastAsia" w:ascii="宋体" w:hAnsi="宋体" w:cs="宋体"/>
                <w:sz w:val="24"/>
              </w:rPr>
              <w:t>4、“三公”经费基本情况：本年度“三公经费”年初预算数</w:t>
            </w:r>
            <w:r>
              <w:rPr>
                <w:rFonts w:hint="eastAsia" w:ascii="宋体" w:hAnsi="宋体" w:cs="宋体"/>
                <w:sz w:val="24"/>
                <w:lang w:val="en-US" w:eastAsia="zh-CN"/>
              </w:rPr>
              <w:t>83.17</w:t>
            </w:r>
            <w:r>
              <w:rPr>
                <w:rFonts w:hint="eastAsia" w:ascii="宋体" w:hAnsi="宋体" w:cs="宋体"/>
                <w:sz w:val="24"/>
              </w:rPr>
              <w:t>万元，其中公务接待费</w:t>
            </w:r>
            <w:r>
              <w:rPr>
                <w:rFonts w:hint="eastAsia" w:ascii="宋体" w:hAnsi="宋体" w:cs="宋体"/>
                <w:sz w:val="24"/>
                <w:lang w:val="en-US" w:eastAsia="zh-CN"/>
              </w:rPr>
              <w:t>9.57</w:t>
            </w:r>
            <w:r>
              <w:rPr>
                <w:rFonts w:hint="eastAsia" w:ascii="宋体" w:hAnsi="宋体" w:cs="宋体"/>
                <w:sz w:val="24"/>
              </w:rPr>
              <w:t>万元，公务用车运行维护费73.6万元。实际支出</w:t>
            </w:r>
            <w:r>
              <w:rPr>
                <w:rFonts w:hint="eastAsia" w:ascii="宋体" w:hAnsi="宋体" w:cs="宋体"/>
                <w:sz w:val="24"/>
                <w:lang w:val="en-US" w:eastAsia="zh-CN"/>
              </w:rPr>
              <w:t>72.49</w:t>
            </w:r>
            <w:r>
              <w:rPr>
                <w:rFonts w:hint="eastAsia" w:ascii="宋体" w:hAnsi="宋体" w:cs="宋体"/>
                <w:sz w:val="24"/>
              </w:rPr>
              <w:t>万元，其中公务接待费支出</w:t>
            </w:r>
            <w:r>
              <w:rPr>
                <w:rFonts w:hint="eastAsia" w:ascii="宋体" w:hAnsi="宋体" w:cs="宋体"/>
                <w:sz w:val="24"/>
                <w:lang w:val="en-US" w:eastAsia="zh-CN"/>
              </w:rPr>
              <w:t>7.29</w:t>
            </w:r>
            <w:r>
              <w:rPr>
                <w:rFonts w:hint="eastAsia" w:ascii="宋体" w:hAnsi="宋体" w:cs="宋体"/>
                <w:sz w:val="24"/>
              </w:rPr>
              <w:t>万元，公务用车运行维护费</w:t>
            </w:r>
            <w:r>
              <w:rPr>
                <w:rFonts w:hint="eastAsia" w:ascii="宋体" w:hAnsi="宋体" w:cs="宋体"/>
                <w:sz w:val="24"/>
                <w:lang w:val="en-US" w:eastAsia="zh-CN"/>
              </w:rPr>
              <w:t>65.2</w:t>
            </w:r>
            <w:r>
              <w:rPr>
                <w:rFonts w:hint="eastAsia" w:ascii="宋体" w:hAnsi="宋体" w:cs="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pPr>
              <w:rPr>
                <w:rFonts w:hint="eastAsia" w:ascii="仿宋" w:hAnsi="仿宋" w:eastAsia="仿宋" w:cs="仿宋"/>
                <w:sz w:val="32"/>
                <w:szCs w:val="32"/>
              </w:rPr>
            </w:pPr>
          </w:p>
        </w:tc>
        <w:tc>
          <w:tcPr>
            <w:tcW w:w="2372" w:type="dxa"/>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绩效目标完成情况</w:t>
            </w:r>
          </w:p>
        </w:tc>
        <w:tc>
          <w:tcPr>
            <w:tcW w:w="5670" w:type="dxa"/>
            <w:noWrap w:val="0"/>
            <w:vAlign w:val="center"/>
          </w:tcPr>
          <w:p>
            <w:pPr>
              <w:widowControl/>
              <w:ind w:firstLine="481" w:firstLineChars="200"/>
              <w:jc w:val="left"/>
              <w:textAlignment w:val="center"/>
              <w:rPr>
                <w:rFonts w:hint="eastAsia" w:ascii="宋体" w:hAnsi="宋体" w:eastAsia="宋体" w:cs="宋体"/>
                <w:kern w:val="0"/>
                <w:sz w:val="24"/>
                <w:highlight w:val="none"/>
                <w:lang w:eastAsia="zh-CN" w:bidi="ar"/>
              </w:rPr>
            </w:pPr>
            <w:r>
              <w:rPr>
                <w:rFonts w:hint="eastAsia" w:ascii="宋体" w:hAnsi="宋体" w:cs="宋体"/>
                <w:b/>
                <w:bCs/>
                <w:kern w:val="0"/>
                <w:sz w:val="24"/>
                <w:highlight w:val="none"/>
                <w:lang w:bidi="ar"/>
              </w:rPr>
              <w:t>1、市场综合监督管理：</w:t>
            </w:r>
            <w:r>
              <w:rPr>
                <w:rFonts w:hint="eastAsia" w:ascii="宋体" w:hAnsi="宋体" w:cs="宋体"/>
                <w:b w:val="0"/>
                <w:bCs w:val="0"/>
                <w:kern w:val="0"/>
                <w:sz w:val="24"/>
                <w:highlight w:val="none"/>
                <w:lang w:bidi="ar"/>
              </w:rPr>
              <w:t>开展市场监管行政执法案卷评查</w:t>
            </w:r>
            <w:r>
              <w:rPr>
                <w:rFonts w:hint="default" w:ascii="宋体" w:hAnsi="宋体" w:cs="宋体"/>
                <w:b w:val="0"/>
                <w:bCs w:val="0"/>
                <w:kern w:val="0"/>
                <w:sz w:val="24"/>
                <w:highlight w:val="none"/>
                <w:lang w:val="en" w:bidi="ar"/>
              </w:rPr>
              <w:t>1</w:t>
            </w:r>
            <w:r>
              <w:rPr>
                <w:rFonts w:hint="eastAsia" w:ascii="宋体" w:hAnsi="宋体" w:cs="宋体"/>
                <w:b w:val="0"/>
                <w:bCs w:val="0"/>
                <w:kern w:val="0"/>
                <w:sz w:val="24"/>
                <w:highlight w:val="none"/>
                <w:lang w:val="en" w:eastAsia="zh-CN" w:bidi="ar"/>
              </w:rPr>
              <w:t>次，</w:t>
            </w:r>
            <w:r>
              <w:rPr>
                <w:rFonts w:hint="eastAsia" w:ascii="宋体" w:hAnsi="宋体" w:cs="宋体"/>
                <w:b w:val="0"/>
                <w:bCs w:val="0"/>
                <w:kern w:val="0"/>
                <w:sz w:val="24"/>
                <w:highlight w:val="none"/>
                <w:lang w:bidi="ar"/>
              </w:rPr>
              <w:t>开展法制培训1次；市场监管课题调研1个，支出8万元；制定出台应急预案1个，支出金额18万元；规范性文件的合法性审查100%，确保发生各类紧急情况时有条不</w:t>
            </w:r>
            <w:r>
              <w:rPr>
                <w:rFonts w:hint="eastAsia" w:ascii="宋体" w:hAnsi="宋体" w:cs="宋体"/>
                <w:kern w:val="0"/>
                <w:sz w:val="24"/>
                <w:highlight w:val="none"/>
                <w:lang w:bidi="ar"/>
              </w:rPr>
              <w:t>紊、有力应对，保障人民群众的安全和健康</w:t>
            </w:r>
            <w:r>
              <w:rPr>
                <w:rFonts w:hint="eastAsia" w:ascii="宋体" w:hAnsi="宋体" w:cs="宋体"/>
                <w:kern w:val="0"/>
                <w:sz w:val="24"/>
                <w:highlight w:val="none"/>
                <w:lang w:eastAsia="zh-CN" w:bidi="ar"/>
              </w:rPr>
              <w:t>。</w:t>
            </w:r>
          </w:p>
          <w:p>
            <w:pPr>
              <w:ind w:firstLine="481" w:firstLineChars="200"/>
              <w:rPr>
                <w:rFonts w:hint="eastAsia" w:ascii="宋体" w:hAnsi="宋体" w:cs="宋体"/>
                <w:kern w:val="0"/>
                <w:sz w:val="24"/>
                <w:highlight w:val="none"/>
                <w:lang w:bidi="ar"/>
              </w:rPr>
            </w:pPr>
            <w:r>
              <w:rPr>
                <w:rFonts w:hint="eastAsia" w:ascii="宋体" w:hAnsi="宋体" w:cs="宋体"/>
                <w:b/>
                <w:bCs/>
                <w:kern w:val="0"/>
                <w:sz w:val="24"/>
                <w:highlight w:val="none"/>
                <w:lang w:bidi="ar"/>
              </w:rPr>
              <w:t>2、市场主体登记注册</w:t>
            </w:r>
            <w:r>
              <w:rPr>
                <w:rFonts w:hint="eastAsia" w:ascii="宋体" w:hAnsi="宋体" w:cs="宋体"/>
                <w:b/>
                <w:bCs/>
                <w:kern w:val="0"/>
                <w:sz w:val="24"/>
                <w:highlight w:val="none"/>
                <w:lang w:eastAsia="zh-CN" w:bidi="ar"/>
              </w:rPr>
              <w:t>以及食品药品、医疗器械、特种设备和计量器具许可管理</w:t>
            </w:r>
            <w:r>
              <w:rPr>
                <w:rFonts w:hint="eastAsia" w:ascii="宋体" w:hAnsi="宋体" w:cs="宋体"/>
                <w:b/>
                <w:bCs/>
                <w:kern w:val="0"/>
                <w:sz w:val="24"/>
                <w:highlight w:val="none"/>
                <w:lang w:bidi="ar"/>
              </w:rPr>
              <w:t>：</w:t>
            </w:r>
            <w:r>
              <w:rPr>
                <w:rFonts w:hint="eastAsia" w:ascii="宋体" w:hAnsi="宋体" w:cs="宋体"/>
                <w:kern w:val="0"/>
                <w:sz w:val="24"/>
                <w:highlight w:val="none"/>
                <w:lang w:bidi="ar"/>
              </w:rPr>
              <w:t>计量、特种设备许可办</w:t>
            </w:r>
            <w:r>
              <w:rPr>
                <w:rFonts w:hint="eastAsia" w:ascii="宋体" w:hAnsi="宋体" w:cs="宋体"/>
                <w:kern w:val="0"/>
                <w:sz w:val="24"/>
                <w:highlight w:val="none"/>
                <w:lang w:val="en-US" w:eastAsia="zh-CN" w:bidi="ar"/>
              </w:rPr>
              <w:t>3515</w:t>
            </w:r>
            <w:r>
              <w:rPr>
                <w:rFonts w:hint="eastAsia" w:ascii="宋体" w:hAnsi="宋体" w:cs="宋体"/>
                <w:kern w:val="0"/>
                <w:sz w:val="24"/>
                <w:highlight w:val="none"/>
                <w:lang w:bidi="ar"/>
              </w:rPr>
              <w:t>户；食品、医疗器械许可办件93户；新设市场主体</w:t>
            </w:r>
            <w:r>
              <w:rPr>
                <w:rFonts w:hint="eastAsia" w:ascii="宋体" w:hAnsi="宋体" w:cs="宋体"/>
                <w:kern w:val="0"/>
                <w:sz w:val="24"/>
                <w:highlight w:val="none"/>
                <w:lang w:val="en-US" w:eastAsia="zh-CN" w:bidi="ar"/>
              </w:rPr>
              <w:t>59635</w:t>
            </w:r>
            <w:r>
              <w:rPr>
                <w:rFonts w:hint="eastAsia" w:ascii="宋体" w:hAnsi="宋体" w:cs="宋体"/>
                <w:kern w:val="0"/>
                <w:sz w:val="24"/>
                <w:highlight w:val="none"/>
                <w:lang w:bidi="ar"/>
              </w:rPr>
              <w:t>户；内资企业全程电子化网办率达</w:t>
            </w:r>
            <w:r>
              <w:rPr>
                <w:rFonts w:hint="eastAsia" w:ascii="宋体" w:hAnsi="宋体" w:cs="宋体"/>
                <w:kern w:val="0"/>
                <w:sz w:val="24"/>
                <w:highlight w:val="none"/>
                <w:lang w:val="en-US" w:eastAsia="zh-CN" w:bidi="ar"/>
              </w:rPr>
              <w:t>86.43</w:t>
            </w:r>
            <w:r>
              <w:rPr>
                <w:rFonts w:hint="eastAsia" w:ascii="宋体" w:hAnsi="宋体" w:cs="宋体"/>
                <w:kern w:val="0"/>
                <w:sz w:val="24"/>
                <w:highlight w:val="none"/>
                <w:lang w:bidi="ar"/>
              </w:rPr>
              <w:t>%；依法依规做行政许可审批达到100%，企业自主年报率达到93.15%，与人民群众生产生活密切相关的高风险行业领域年报率达到100%；省“双随机、一公开”抽查比率达到</w:t>
            </w:r>
            <w:r>
              <w:rPr>
                <w:rFonts w:hint="eastAsia" w:ascii="宋体" w:hAnsi="宋体" w:cs="宋体"/>
                <w:kern w:val="0"/>
                <w:sz w:val="24"/>
                <w:highlight w:val="none"/>
                <w:lang w:val="en-US" w:eastAsia="zh-CN" w:bidi="ar"/>
              </w:rPr>
              <w:t>5</w:t>
            </w:r>
            <w:r>
              <w:rPr>
                <w:rFonts w:hint="eastAsia" w:ascii="宋体" w:hAnsi="宋体" w:cs="宋体"/>
                <w:kern w:val="0"/>
                <w:sz w:val="24"/>
                <w:highlight w:val="none"/>
                <w:lang w:bidi="ar"/>
              </w:rPr>
              <w:t>%，建立“一单两库一细则”达到100%；企业设立登记完成时间缩短至1个工作日，计量、特训设备、食品、药品、医疗器械许可在7个工作日内完成；企业自主年报在6月30日前完成；营业执照工本费7.5万元，其实许可证件、备案工本费</w:t>
            </w:r>
            <w:r>
              <w:rPr>
                <w:rFonts w:hint="eastAsia" w:ascii="宋体" w:hAnsi="宋体" w:cs="宋体"/>
                <w:kern w:val="0"/>
                <w:sz w:val="24"/>
                <w:highlight w:val="none"/>
                <w:lang w:val="en-US" w:eastAsia="zh-CN" w:bidi="ar"/>
              </w:rPr>
              <w:t>6</w:t>
            </w:r>
            <w:r>
              <w:rPr>
                <w:rFonts w:hint="eastAsia" w:ascii="宋体" w:hAnsi="宋体" w:cs="宋体"/>
                <w:kern w:val="0"/>
                <w:sz w:val="24"/>
                <w:highlight w:val="none"/>
                <w:lang w:bidi="ar"/>
              </w:rPr>
              <w:t>万元，采取政府购买服务的方式，委托第三方专业机构协助抽查的成本控制在1000元/家以内。深化商事制度改革，优化企业登记注册流程，提高市场主体办事效率；优化涉企政务服务，深入推进审批服务便民化，不断优化办事创业和营商环境；深化商事制度改革，进一步放宽市场准入，激发市场主体活力；营商环境不断优化，市场主体持续增加，我市经济发展可持续</w:t>
            </w:r>
            <w:r>
              <w:rPr>
                <w:rFonts w:hint="eastAsia" w:ascii="宋体" w:hAnsi="宋体" w:cs="宋体"/>
                <w:kern w:val="0"/>
                <w:sz w:val="24"/>
                <w:highlight w:val="none"/>
                <w:lang w:eastAsia="zh-CN" w:bidi="ar"/>
              </w:rPr>
              <w:t>，市场主体对行政许可满意度</w:t>
            </w:r>
            <w:r>
              <w:rPr>
                <w:rFonts w:hint="default" w:ascii="宋体" w:hAnsi="宋体" w:cs="宋体"/>
                <w:kern w:val="0"/>
                <w:sz w:val="24"/>
                <w:highlight w:val="none"/>
                <w:lang w:val="en" w:eastAsia="zh-CN" w:bidi="ar"/>
              </w:rPr>
              <w:t>94</w:t>
            </w:r>
            <w:r>
              <w:rPr>
                <w:rFonts w:hint="eastAsia" w:ascii="宋体" w:hAnsi="宋体" w:cs="宋体"/>
                <w:kern w:val="0"/>
                <w:sz w:val="24"/>
                <w:highlight w:val="none"/>
                <w:lang w:val="en-US" w:eastAsia="zh-CN" w:bidi="ar"/>
              </w:rPr>
              <w:t>%</w:t>
            </w:r>
            <w:r>
              <w:rPr>
                <w:rFonts w:hint="eastAsia" w:ascii="宋体" w:hAnsi="宋体" w:cs="宋体"/>
                <w:kern w:val="0"/>
                <w:sz w:val="24"/>
                <w:highlight w:val="none"/>
                <w:lang w:bidi="ar"/>
              </w:rPr>
              <w:t>。</w:t>
            </w:r>
          </w:p>
          <w:p>
            <w:pPr>
              <w:ind w:firstLine="481" w:firstLineChars="200"/>
              <w:rPr>
                <w:rFonts w:hint="eastAsia" w:ascii="宋体" w:hAnsi="宋体" w:eastAsia="宋体" w:cs="宋体"/>
                <w:sz w:val="24"/>
                <w:highlight w:val="none"/>
                <w:lang w:eastAsia="zh-CN"/>
              </w:rPr>
            </w:pPr>
            <w:r>
              <w:rPr>
                <w:rFonts w:hint="eastAsia" w:ascii="宋体" w:hAnsi="宋体" w:cs="宋体"/>
                <w:b/>
                <w:bCs/>
                <w:kern w:val="0"/>
                <w:sz w:val="24"/>
                <w:highlight w:val="none"/>
                <w:lang w:bidi="ar"/>
              </w:rPr>
              <w:t>3、市场监管综合执法：</w:t>
            </w:r>
            <w:r>
              <w:rPr>
                <w:rFonts w:hint="eastAsia" w:ascii="宋体" w:hAnsi="宋体" w:cs="宋体"/>
                <w:kern w:val="0"/>
                <w:sz w:val="24"/>
                <w:highlight w:val="none"/>
                <w:lang w:bidi="ar"/>
              </w:rPr>
              <w:t>办理一般案件1</w:t>
            </w:r>
            <w:r>
              <w:rPr>
                <w:rFonts w:hint="eastAsia" w:ascii="宋体" w:hAnsi="宋体" w:cs="宋体"/>
                <w:kern w:val="0"/>
                <w:sz w:val="24"/>
                <w:highlight w:val="none"/>
                <w:lang w:val="en-US" w:eastAsia="zh-CN" w:bidi="ar"/>
              </w:rPr>
              <w:t>32</w:t>
            </w:r>
            <w:r>
              <w:rPr>
                <w:rFonts w:hint="eastAsia" w:ascii="宋体" w:hAnsi="宋体" w:cs="宋体"/>
                <w:kern w:val="0"/>
                <w:sz w:val="24"/>
                <w:highlight w:val="none"/>
                <w:lang w:bidi="ar"/>
              </w:rPr>
              <w:t>起，完成率100%，从立案到结案的期限≤90天；办理重大案件</w:t>
            </w:r>
            <w:r>
              <w:rPr>
                <w:rFonts w:hint="eastAsia" w:ascii="宋体" w:hAnsi="宋体" w:cs="宋体"/>
                <w:kern w:val="0"/>
                <w:sz w:val="24"/>
                <w:highlight w:val="none"/>
                <w:lang w:val="en-US" w:eastAsia="zh-CN" w:bidi="ar"/>
              </w:rPr>
              <w:t>3</w:t>
            </w:r>
            <w:r>
              <w:rPr>
                <w:rFonts w:hint="eastAsia" w:ascii="宋体" w:hAnsi="宋体" w:cs="宋体"/>
                <w:kern w:val="0"/>
                <w:sz w:val="24"/>
                <w:highlight w:val="none"/>
                <w:lang w:bidi="ar"/>
              </w:rPr>
              <w:t>起，完成率</w:t>
            </w:r>
            <w:r>
              <w:rPr>
                <w:rFonts w:hint="eastAsia" w:ascii="宋体" w:hAnsi="宋体" w:cs="宋体"/>
                <w:kern w:val="0"/>
                <w:sz w:val="24"/>
                <w:highlight w:val="none"/>
                <w:lang w:val="en-US" w:eastAsia="zh-CN" w:bidi="ar"/>
              </w:rPr>
              <w:t>100</w:t>
            </w:r>
            <w:r>
              <w:rPr>
                <w:rFonts w:hint="eastAsia" w:ascii="宋体" w:hAnsi="宋体" w:cs="宋体"/>
                <w:kern w:val="0"/>
                <w:sz w:val="24"/>
                <w:highlight w:val="none"/>
                <w:lang w:bidi="ar"/>
              </w:rPr>
              <w:t>%；办理双打执法</w:t>
            </w:r>
            <w:r>
              <w:rPr>
                <w:rFonts w:hint="eastAsia" w:ascii="宋体" w:hAnsi="宋体" w:cs="宋体"/>
                <w:kern w:val="0"/>
                <w:sz w:val="24"/>
                <w:highlight w:val="none"/>
                <w:lang w:val="en-US" w:eastAsia="zh-CN" w:bidi="ar"/>
              </w:rPr>
              <w:t>21</w:t>
            </w:r>
            <w:r>
              <w:rPr>
                <w:rFonts w:hint="eastAsia" w:ascii="宋体" w:hAnsi="宋体" w:cs="宋体"/>
                <w:kern w:val="0"/>
                <w:sz w:val="24"/>
                <w:highlight w:val="none"/>
                <w:lang w:bidi="ar"/>
              </w:rPr>
              <w:t>起；各类执法案件办理支出</w:t>
            </w:r>
            <w:r>
              <w:rPr>
                <w:rFonts w:hint="eastAsia" w:ascii="宋体" w:hAnsi="宋体" w:cs="宋体"/>
                <w:kern w:val="0"/>
                <w:sz w:val="24"/>
                <w:highlight w:val="none"/>
                <w:lang w:val="en-US" w:eastAsia="zh-CN" w:bidi="ar"/>
              </w:rPr>
              <w:t>110</w:t>
            </w:r>
            <w:r>
              <w:rPr>
                <w:rFonts w:hint="eastAsia" w:ascii="宋体" w:hAnsi="宋体" w:cs="宋体"/>
                <w:kern w:val="0"/>
                <w:sz w:val="24"/>
                <w:highlight w:val="none"/>
                <w:lang w:bidi="ar"/>
              </w:rPr>
              <w:t>万元；通过加强违法违规行为执法力度，假冒伪劣产品不断减少，市场秩序向好，营造良好市场环境</w:t>
            </w:r>
            <w:r>
              <w:rPr>
                <w:rFonts w:hint="eastAsia" w:ascii="宋体" w:hAnsi="宋体" w:cs="宋体"/>
                <w:kern w:val="0"/>
                <w:sz w:val="24"/>
                <w:highlight w:val="none"/>
                <w:lang w:eastAsia="zh-CN" w:bidi="ar"/>
              </w:rPr>
              <w:t>。</w:t>
            </w:r>
          </w:p>
          <w:p>
            <w:pPr>
              <w:pStyle w:val="5"/>
              <w:ind w:firstLine="481" w:firstLineChars="200"/>
              <w:rPr>
                <w:rFonts w:hint="eastAsia" w:ascii="宋体" w:hAnsi="宋体" w:eastAsia="宋体" w:cs="宋体"/>
                <w:kern w:val="0"/>
                <w:sz w:val="24"/>
                <w:szCs w:val="24"/>
                <w:highlight w:val="none"/>
                <w:lang w:eastAsia="zh-CN" w:bidi="ar"/>
              </w:rPr>
            </w:pPr>
            <w:r>
              <w:rPr>
                <w:rFonts w:hint="eastAsia" w:ascii="宋体" w:hAnsi="宋体" w:cs="宋体"/>
                <w:b/>
                <w:bCs/>
                <w:sz w:val="24"/>
                <w:szCs w:val="24"/>
                <w:highlight w:val="none"/>
              </w:rPr>
              <w:t>4、反垄断执法调查：</w:t>
            </w:r>
            <w:r>
              <w:rPr>
                <w:rFonts w:hint="eastAsia" w:ascii="宋体" w:hAnsi="宋体" w:cs="宋体"/>
                <w:kern w:val="0"/>
                <w:sz w:val="24"/>
                <w:szCs w:val="24"/>
                <w:highlight w:val="none"/>
                <w:lang w:bidi="ar"/>
              </w:rPr>
              <w:t>组织开展针对重点地区、重点人群和重点环节的打击传销宣传教育</w:t>
            </w:r>
            <w:r>
              <w:rPr>
                <w:rFonts w:hint="eastAsia" w:ascii="宋体" w:hAnsi="宋体" w:cs="宋体"/>
                <w:kern w:val="0"/>
                <w:sz w:val="24"/>
                <w:szCs w:val="24"/>
                <w:highlight w:val="none"/>
                <w:lang w:val="en-US" w:eastAsia="zh-CN" w:bidi="ar"/>
              </w:rPr>
              <w:t>3</w:t>
            </w:r>
            <w:r>
              <w:rPr>
                <w:rFonts w:hint="eastAsia" w:ascii="宋体" w:hAnsi="宋体" w:cs="宋体"/>
                <w:kern w:val="0"/>
                <w:sz w:val="24"/>
                <w:szCs w:val="24"/>
                <w:highlight w:val="none"/>
                <w:lang w:bidi="ar"/>
              </w:rPr>
              <w:t>次，组织开展公平竞争审查培训1次；召开全市公平竞争审查联席会议</w:t>
            </w:r>
            <w:r>
              <w:rPr>
                <w:rFonts w:hint="eastAsia" w:ascii="宋体" w:hAnsi="宋体" w:cs="宋体"/>
                <w:kern w:val="0"/>
                <w:sz w:val="24"/>
                <w:szCs w:val="24"/>
                <w:highlight w:val="none"/>
                <w:lang w:val="en-US" w:eastAsia="zh-CN" w:bidi="ar"/>
              </w:rPr>
              <w:t>1次，委托第三方评估全市公平竞争审查工作，</w:t>
            </w:r>
            <w:r>
              <w:rPr>
                <w:rFonts w:hint="eastAsia" w:ascii="宋体" w:hAnsi="宋体" w:cs="宋体"/>
                <w:kern w:val="0"/>
                <w:sz w:val="24"/>
                <w:szCs w:val="24"/>
                <w:highlight w:val="none"/>
                <w:lang w:bidi="ar"/>
              </w:rPr>
              <w:t>涉嫌垄断举报线索100%核查，保障成员单位公平竞争审查机制覆盖率达到100%；完成针对重点地区、重点人群和重点环节的打击传销宣传教育</w:t>
            </w:r>
            <w:r>
              <w:rPr>
                <w:rFonts w:hint="eastAsia" w:ascii="宋体" w:hAnsi="宋体" w:cs="宋体"/>
                <w:kern w:val="0"/>
                <w:sz w:val="24"/>
                <w:szCs w:val="24"/>
                <w:highlight w:val="none"/>
                <w:lang w:eastAsia="zh-CN" w:bidi="ar"/>
              </w:rPr>
              <w:t>，支出</w:t>
            </w:r>
            <w:r>
              <w:rPr>
                <w:rFonts w:hint="eastAsia" w:ascii="宋体" w:hAnsi="宋体" w:cs="宋体"/>
                <w:kern w:val="0"/>
                <w:sz w:val="24"/>
                <w:szCs w:val="24"/>
                <w:highlight w:val="none"/>
                <w:lang w:val="en-US" w:eastAsia="zh-CN" w:bidi="ar"/>
              </w:rPr>
              <w:t>9万元，</w:t>
            </w:r>
            <w:r>
              <w:rPr>
                <w:rFonts w:hint="eastAsia" w:ascii="宋体" w:hAnsi="宋体" w:cs="宋体"/>
                <w:kern w:val="0"/>
                <w:sz w:val="24"/>
                <w:szCs w:val="24"/>
                <w:highlight w:val="none"/>
                <w:lang w:bidi="ar"/>
              </w:rPr>
              <w:t>委托第三方完成评估全市公平竞争审查，支出4.8万元；提升我市广大人民群众的识别防范能力，为我市创建“无传销城市”营造良好舆论环境，保障良好公平竞争环境，各类市场主体能公平参与市场竞争，不断营造诚信经营的市场氛围，市场秩序良好；人民群众对打击传销工作的满意度≥90%</w:t>
            </w:r>
            <w:r>
              <w:rPr>
                <w:rFonts w:hint="eastAsia" w:ascii="宋体" w:hAnsi="宋体" w:cs="宋体"/>
                <w:kern w:val="0"/>
                <w:sz w:val="24"/>
                <w:szCs w:val="24"/>
                <w:highlight w:val="none"/>
                <w:lang w:eastAsia="zh-CN" w:bidi="ar"/>
              </w:rPr>
              <w:t>。</w:t>
            </w:r>
          </w:p>
          <w:p>
            <w:pPr>
              <w:widowControl/>
              <w:ind w:firstLine="481" w:firstLineChars="200"/>
              <w:jc w:val="left"/>
              <w:textAlignment w:val="center"/>
              <w:rPr>
                <w:rFonts w:hint="eastAsia" w:ascii="宋体" w:hAnsi="宋体" w:cs="宋体"/>
                <w:sz w:val="24"/>
                <w:highlight w:val="none"/>
              </w:rPr>
            </w:pPr>
            <w:r>
              <w:rPr>
                <w:rFonts w:hint="eastAsia" w:ascii="宋体" w:hAnsi="宋体" w:cs="宋体"/>
                <w:b/>
                <w:bCs/>
                <w:sz w:val="24"/>
                <w:highlight w:val="none"/>
              </w:rPr>
              <w:t>5、市场秩序监管：</w:t>
            </w:r>
            <w:r>
              <w:rPr>
                <w:rFonts w:hint="eastAsia" w:ascii="宋体" w:hAnsi="宋体" w:cs="宋体"/>
                <w:kern w:val="0"/>
                <w:sz w:val="24"/>
                <w:highlight w:val="none"/>
                <w:lang w:bidi="ar"/>
              </w:rPr>
              <w:t>开展网络市场监测次数</w:t>
            </w:r>
            <w:r>
              <w:rPr>
                <w:rFonts w:hint="eastAsia" w:ascii="宋体" w:hAnsi="宋体" w:cs="宋体"/>
                <w:kern w:val="0"/>
                <w:sz w:val="24"/>
                <w:highlight w:val="none"/>
                <w:lang w:val="en-US" w:eastAsia="zh-CN" w:bidi="ar"/>
              </w:rPr>
              <w:t>15</w:t>
            </w:r>
            <w:r>
              <w:rPr>
                <w:rFonts w:hint="eastAsia" w:ascii="宋体" w:hAnsi="宋体" w:cs="宋体"/>
                <w:kern w:val="0"/>
                <w:sz w:val="24"/>
                <w:highlight w:val="none"/>
                <w:lang w:bidi="ar"/>
              </w:rPr>
              <w:t>次，户外广告监测</w:t>
            </w:r>
            <w:r>
              <w:rPr>
                <w:rFonts w:hint="eastAsia" w:ascii="宋体" w:hAnsi="宋体" w:cs="宋体"/>
                <w:kern w:val="0"/>
                <w:sz w:val="24"/>
                <w:highlight w:val="none"/>
                <w:lang w:val="en-US" w:eastAsia="zh-CN" w:bidi="ar"/>
              </w:rPr>
              <w:t>12000</w:t>
            </w:r>
            <w:r>
              <w:rPr>
                <w:rFonts w:hint="eastAsia" w:ascii="宋体" w:hAnsi="宋体" w:cs="宋体"/>
                <w:kern w:val="0"/>
                <w:sz w:val="24"/>
                <w:highlight w:val="none"/>
                <w:lang w:bidi="ar"/>
              </w:rPr>
              <w:t>条次；行政事业性收费抽查</w:t>
            </w:r>
            <w:r>
              <w:rPr>
                <w:rFonts w:hint="eastAsia" w:ascii="宋体" w:hAnsi="宋体" w:cs="宋体"/>
                <w:kern w:val="0"/>
                <w:sz w:val="24"/>
                <w:highlight w:val="none"/>
                <w:lang w:val="en-US" w:eastAsia="zh-CN" w:bidi="ar"/>
              </w:rPr>
              <w:t>3</w:t>
            </w:r>
            <w:r>
              <w:rPr>
                <w:rFonts w:hint="eastAsia" w:ascii="宋体" w:hAnsi="宋体" w:cs="宋体"/>
                <w:kern w:val="0"/>
                <w:sz w:val="24"/>
                <w:highlight w:val="none"/>
                <w:lang w:bidi="ar"/>
              </w:rPr>
              <w:t>家，教育收费检查8家，医疗服务价格检查</w:t>
            </w:r>
            <w:r>
              <w:rPr>
                <w:rFonts w:hint="eastAsia" w:ascii="宋体" w:hAnsi="宋体" w:cs="宋体"/>
                <w:kern w:val="0"/>
                <w:sz w:val="24"/>
                <w:highlight w:val="none"/>
                <w:lang w:val="en-US" w:eastAsia="zh-CN" w:bidi="ar"/>
              </w:rPr>
              <w:t>2</w:t>
            </w:r>
            <w:r>
              <w:rPr>
                <w:rFonts w:hint="eastAsia" w:ascii="宋体" w:hAnsi="宋体" w:cs="宋体"/>
                <w:kern w:val="0"/>
                <w:sz w:val="24"/>
                <w:highlight w:val="none"/>
                <w:lang w:bidi="ar"/>
              </w:rPr>
              <w:t>家，水电气收费检查2家，开展重大节假日价格监管4次；虚假违法广告线索处置率100%，开展收费检查完成率100%，省局交办督办指定管辖案件处理完结率100%，价格投诉举报办结率100%；处理价格投诉举报时间控制在5个工作日，已开展3个月专项检查，商品和网络市场监督支出</w:t>
            </w:r>
            <w:r>
              <w:rPr>
                <w:rFonts w:hint="eastAsia" w:ascii="宋体" w:hAnsi="宋体" w:cs="宋体"/>
                <w:kern w:val="0"/>
                <w:sz w:val="24"/>
                <w:highlight w:val="none"/>
                <w:lang w:val="en-US" w:eastAsia="zh-CN" w:bidi="ar"/>
              </w:rPr>
              <w:t>19.9</w:t>
            </w:r>
            <w:r>
              <w:rPr>
                <w:rFonts w:hint="eastAsia" w:ascii="宋体" w:hAnsi="宋体" w:cs="宋体"/>
                <w:kern w:val="0"/>
                <w:sz w:val="24"/>
                <w:highlight w:val="none"/>
                <w:lang w:bidi="ar"/>
              </w:rPr>
              <w:t>万元，广告监测支出10万元；通过相关监管工作营造良好线上消费环境，全市广告市场秩序状态持续向好，提升广告业主、经营者、发布者法律意识，促进行业可持续发展；社会公众对商品和网络交易环境满意度≥9</w:t>
            </w:r>
            <w:r>
              <w:rPr>
                <w:rFonts w:hint="eastAsia" w:ascii="宋体" w:hAnsi="宋体" w:cs="宋体"/>
                <w:kern w:val="0"/>
                <w:sz w:val="24"/>
                <w:highlight w:val="none"/>
                <w:lang w:val="en-US" w:eastAsia="zh-CN" w:bidi="ar"/>
              </w:rPr>
              <w:t>5</w:t>
            </w:r>
            <w:r>
              <w:rPr>
                <w:rFonts w:hint="eastAsia" w:ascii="宋体" w:hAnsi="宋体" w:cs="宋体"/>
                <w:kern w:val="0"/>
                <w:sz w:val="24"/>
                <w:highlight w:val="none"/>
                <w:lang w:bidi="ar"/>
              </w:rPr>
              <w:t>%，社会公众对价格监管的满意度≥90%。</w:t>
            </w:r>
          </w:p>
          <w:p>
            <w:pPr>
              <w:pStyle w:val="5"/>
              <w:ind w:firstLine="481" w:firstLineChars="200"/>
              <w:rPr>
                <w:rFonts w:hint="eastAsia" w:ascii="宋体" w:hAnsi="宋体" w:cs="宋体"/>
                <w:kern w:val="0"/>
                <w:sz w:val="24"/>
                <w:szCs w:val="24"/>
                <w:highlight w:val="none"/>
                <w:lang w:bidi="ar"/>
              </w:rPr>
            </w:pPr>
            <w:r>
              <w:rPr>
                <w:rFonts w:hint="eastAsia" w:ascii="宋体" w:hAnsi="宋体" w:cs="宋体"/>
                <w:b/>
                <w:bCs/>
                <w:sz w:val="24"/>
                <w:szCs w:val="24"/>
                <w:highlight w:val="none"/>
              </w:rPr>
              <w:t>6、宏观质量管理：</w:t>
            </w:r>
            <w:r>
              <w:rPr>
                <w:rFonts w:hint="eastAsia" w:ascii="宋体" w:hAnsi="宋体" w:cs="宋体"/>
                <w:kern w:val="0"/>
                <w:sz w:val="24"/>
                <w:szCs w:val="24"/>
                <w:highlight w:val="none"/>
                <w:lang w:bidi="ar"/>
              </w:rPr>
              <w:t>开展企业质量诊断和帮扶17家，建设1个质量基础设施“一站式”服务平台，开展1次服务业满意度测评；开展质量月宣传活动4个，首席质量官与人才培训1期，编制质量宣传资料11650册；企业质量诊断和帮扶企业支出24万元，制造业产品质量合格率监测（含消费品合格率）支出26万元，质量基础设施“一站式”服务平台建设支出58.9万元，开展质量月宣传活动支出8万元，首席质量官与人才培训支出4.55万元，质量宣传资料编支出3</w:t>
            </w:r>
            <w:r>
              <w:rPr>
                <w:rFonts w:hint="eastAsia" w:ascii="宋体" w:hAnsi="宋体" w:cs="宋体"/>
                <w:kern w:val="0"/>
                <w:sz w:val="24"/>
                <w:szCs w:val="24"/>
                <w:highlight w:val="none"/>
                <w:lang w:val="en-US" w:eastAsia="zh-CN" w:bidi="ar"/>
              </w:rPr>
              <w:t>.9</w:t>
            </w:r>
            <w:r>
              <w:rPr>
                <w:rFonts w:hint="eastAsia" w:ascii="宋体" w:hAnsi="宋体" w:cs="宋体"/>
                <w:kern w:val="0"/>
                <w:sz w:val="24"/>
                <w:szCs w:val="24"/>
                <w:highlight w:val="none"/>
                <w:lang w:bidi="ar"/>
              </w:rPr>
              <w:t>万元；科学度量制造业质量发展水平，推动工业高质量发展，保持工业经济整体平稳健康运行态势，推进质量社会共治，形成良好的质量社会氛围，持续实施质量强市战略，推动全市质量总体水平稳步提升</w:t>
            </w:r>
            <w:r>
              <w:rPr>
                <w:rFonts w:hint="eastAsia" w:ascii="宋体" w:hAnsi="宋体" w:cs="宋体"/>
                <w:sz w:val="24"/>
                <w:szCs w:val="24"/>
                <w:highlight w:val="none"/>
              </w:rPr>
              <w:t>。</w:t>
            </w:r>
          </w:p>
          <w:p>
            <w:pPr>
              <w:pStyle w:val="5"/>
              <w:ind w:firstLine="481" w:firstLineChars="200"/>
              <w:rPr>
                <w:rFonts w:ascii="宋体" w:hAnsi="宋体" w:cs="宋体"/>
                <w:kern w:val="0"/>
                <w:sz w:val="24"/>
                <w:szCs w:val="24"/>
                <w:highlight w:val="none"/>
                <w:lang w:bidi="ar"/>
              </w:rPr>
            </w:pPr>
            <w:r>
              <w:rPr>
                <w:rFonts w:hint="eastAsia" w:ascii="宋体" w:hAnsi="宋体" w:cs="宋体"/>
                <w:b/>
                <w:bCs/>
                <w:sz w:val="24"/>
                <w:szCs w:val="24"/>
                <w:highlight w:val="none"/>
              </w:rPr>
              <w:t>7、产品质量安全监督管理：</w:t>
            </w:r>
            <w:r>
              <w:rPr>
                <w:rFonts w:hint="eastAsia" w:ascii="宋体" w:hAnsi="宋体" w:cs="宋体"/>
                <w:kern w:val="0"/>
                <w:sz w:val="24"/>
                <w:szCs w:val="24"/>
                <w:highlight w:val="none"/>
                <w:lang w:bidi="ar"/>
              </w:rPr>
              <w:t>抽检产商品5种，抽检产商品3</w:t>
            </w:r>
            <w:r>
              <w:rPr>
                <w:rFonts w:hint="eastAsia" w:ascii="宋体" w:hAnsi="宋体" w:cs="宋体"/>
                <w:kern w:val="0"/>
                <w:sz w:val="24"/>
                <w:szCs w:val="24"/>
                <w:highlight w:val="none"/>
                <w:lang w:val="en-US" w:eastAsia="zh-CN" w:bidi="ar"/>
              </w:rPr>
              <w:t>3</w:t>
            </w:r>
            <w:r>
              <w:rPr>
                <w:rFonts w:hint="eastAsia" w:ascii="宋体" w:hAnsi="宋体" w:cs="宋体"/>
                <w:kern w:val="0"/>
                <w:sz w:val="24"/>
                <w:szCs w:val="24"/>
                <w:highlight w:val="none"/>
                <w:lang w:bidi="ar"/>
              </w:rPr>
              <w:t>批次；完成证后监督检查企业</w:t>
            </w:r>
            <w:r>
              <w:rPr>
                <w:rFonts w:hint="eastAsia" w:ascii="宋体" w:hAnsi="宋体" w:cs="宋体"/>
                <w:kern w:val="0"/>
                <w:sz w:val="24"/>
                <w:szCs w:val="24"/>
                <w:highlight w:val="none"/>
                <w:lang w:val="en-US" w:eastAsia="zh-CN" w:bidi="ar"/>
              </w:rPr>
              <w:t>20</w:t>
            </w:r>
            <w:r>
              <w:rPr>
                <w:rFonts w:hint="eastAsia" w:ascii="宋体" w:hAnsi="宋体" w:cs="宋体"/>
                <w:kern w:val="0"/>
                <w:sz w:val="24"/>
                <w:szCs w:val="24"/>
                <w:highlight w:val="none"/>
                <w:lang w:bidi="ar"/>
              </w:rPr>
              <w:t>家；抽查不合格产商品批次的后处置率达到100%，商品监督抽查工作结果信息公示率100%；产商品质量抽查检验支出控制在3500元/批次；通过抽查发现产品质量安全问题，化解安全风险，持续促进本市产品质量安全水平稳定向好的趋势；服务对象满意度达到92%。</w:t>
            </w:r>
          </w:p>
          <w:p>
            <w:pPr>
              <w:pStyle w:val="5"/>
              <w:ind w:firstLine="481" w:firstLineChars="200"/>
              <w:rPr>
                <w:rFonts w:hint="eastAsia" w:ascii="宋体" w:hAnsi="宋体" w:cs="宋体"/>
                <w:kern w:val="0"/>
                <w:sz w:val="24"/>
                <w:szCs w:val="24"/>
                <w:highlight w:val="none"/>
                <w:lang w:bidi="ar"/>
              </w:rPr>
            </w:pPr>
            <w:r>
              <w:rPr>
                <w:rFonts w:hint="eastAsia" w:ascii="宋体" w:hAnsi="宋体" w:cs="宋体"/>
                <w:b/>
                <w:bCs/>
                <w:sz w:val="24"/>
                <w:szCs w:val="24"/>
                <w:highlight w:val="none"/>
              </w:rPr>
              <w:t>8、特种设备安全监督管理：</w:t>
            </w:r>
            <w:r>
              <w:rPr>
                <w:rFonts w:hint="eastAsia" w:ascii="宋体" w:hAnsi="宋体" w:cs="宋体"/>
                <w:kern w:val="0"/>
                <w:sz w:val="24"/>
                <w:szCs w:val="24"/>
                <w:highlight w:val="none"/>
                <w:lang w:bidi="ar"/>
              </w:rPr>
              <w:t>抽查重点特种设备使用单位</w:t>
            </w:r>
            <w:r>
              <w:rPr>
                <w:rFonts w:hint="eastAsia" w:ascii="宋体" w:hAnsi="宋体" w:cs="宋体"/>
                <w:kern w:val="0"/>
                <w:sz w:val="24"/>
                <w:szCs w:val="24"/>
                <w:highlight w:val="none"/>
                <w:lang w:val="en-US" w:eastAsia="zh-CN" w:bidi="ar"/>
              </w:rPr>
              <w:t>75</w:t>
            </w:r>
            <w:r>
              <w:rPr>
                <w:rFonts w:hint="eastAsia" w:ascii="宋体" w:hAnsi="宋体" w:cs="宋体"/>
                <w:kern w:val="0"/>
                <w:sz w:val="24"/>
                <w:szCs w:val="24"/>
                <w:highlight w:val="none"/>
                <w:lang w:bidi="ar"/>
              </w:rPr>
              <w:t>家，一般特种设备使用单位</w:t>
            </w:r>
            <w:r>
              <w:rPr>
                <w:rFonts w:hint="eastAsia" w:ascii="宋体" w:hAnsi="宋体" w:cs="宋体"/>
                <w:kern w:val="0"/>
                <w:sz w:val="24"/>
                <w:szCs w:val="24"/>
                <w:highlight w:val="none"/>
                <w:lang w:val="en-US" w:eastAsia="zh-CN" w:bidi="ar"/>
              </w:rPr>
              <w:t>30</w:t>
            </w:r>
            <w:r>
              <w:rPr>
                <w:rFonts w:hint="eastAsia" w:ascii="宋体" w:hAnsi="宋体" w:cs="宋体"/>
                <w:kern w:val="0"/>
                <w:sz w:val="24"/>
                <w:szCs w:val="24"/>
                <w:highlight w:val="none"/>
                <w:lang w:bidi="ar"/>
              </w:rPr>
              <w:t>家；发放特种设备安全宣传资料</w:t>
            </w:r>
            <w:r>
              <w:rPr>
                <w:rFonts w:hint="eastAsia" w:ascii="宋体" w:hAnsi="宋体" w:cs="宋体"/>
                <w:kern w:val="0"/>
                <w:sz w:val="24"/>
                <w:szCs w:val="24"/>
                <w:highlight w:val="none"/>
                <w:lang w:val="en-US" w:eastAsia="zh-CN" w:bidi="ar"/>
              </w:rPr>
              <w:t>18400</w:t>
            </w:r>
            <w:r>
              <w:rPr>
                <w:rFonts w:hint="eastAsia" w:ascii="宋体" w:hAnsi="宋体" w:cs="宋体"/>
                <w:kern w:val="0"/>
                <w:sz w:val="24"/>
                <w:szCs w:val="24"/>
                <w:highlight w:val="none"/>
                <w:lang w:bidi="ar"/>
              </w:rPr>
              <w:t>份，开展监管人员培训1次；重点特种设备使用单位抽查完成率</w:t>
            </w:r>
            <w:r>
              <w:rPr>
                <w:rFonts w:hint="eastAsia" w:ascii="宋体" w:hAnsi="宋体" w:cs="宋体"/>
                <w:kern w:val="0"/>
                <w:sz w:val="24"/>
                <w:szCs w:val="24"/>
                <w:highlight w:val="none"/>
                <w:lang w:val="en-US" w:eastAsia="zh-CN" w:bidi="ar"/>
              </w:rPr>
              <w:t>100</w:t>
            </w:r>
            <w:r>
              <w:rPr>
                <w:rFonts w:hint="eastAsia" w:ascii="宋体" w:hAnsi="宋体" w:cs="宋体"/>
                <w:kern w:val="0"/>
                <w:sz w:val="24"/>
                <w:szCs w:val="24"/>
                <w:highlight w:val="none"/>
                <w:lang w:bidi="ar"/>
              </w:rPr>
              <w:t>%，一般特种设备使用单位抽查完成率</w:t>
            </w:r>
            <w:r>
              <w:rPr>
                <w:rFonts w:hint="eastAsia" w:ascii="宋体" w:hAnsi="宋体" w:cs="宋体"/>
                <w:kern w:val="0"/>
                <w:sz w:val="24"/>
                <w:szCs w:val="24"/>
                <w:highlight w:val="none"/>
                <w:lang w:val="en-US" w:eastAsia="zh-CN" w:bidi="ar"/>
              </w:rPr>
              <w:t>100</w:t>
            </w:r>
            <w:r>
              <w:rPr>
                <w:rFonts w:hint="eastAsia" w:ascii="宋体" w:hAnsi="宋体" w:cs="宋体"/>
                <w:kern w:val="0"/>
                <w:sz w:val="24"/>
                <w:szCs w:val="24"/>
                <w:highlight w:val="none"/>
                <w:lang w:bidi="ar"/>
              </w:rPr>
              <w:t>%；全面抽查特种设备使用单位成本控制在1000元/家，开展培训支出12万，印制特种设备安全监察知识宣传资料支出2.59万元；全年未发生特种设备安全较大以上事故，持续提升特种设备安全监管能力和水平，特种设备使用单位主体责任逐步落实。</w:t>
            </w:r>
          </w:p>
          <w:p>
            <w:pPr>
              <w:widowControl/>
              <w:ind w:firstLine="481" w:firstLineChars="200"/>
              <w:jc w:val="left"/>
              <w:textAlignment w:val="center"/>
              <w:rPr>
                <w:rFonts w:hint="eastAsia" w:ascii="宋体" w:hAnsi="宋体" w:cs="宋体"/>
                <w:kern w:val="0"/>
                <w:sz w:val="24"/>
                <w:highlight w:val="none"/>
                <w:lang w:bidi="ar"/>
              </w:rPr>
            </w:pPr>
            <w:r>
              <w:rPr>
                <w:rFonts w:hint="eastAsia" w:ascii="宋体" w:hAnsi="宋体" w:cs="宋体"/>
                <w:b/>
                <w:bCs/>
                <w:sz w:val="24"/>
                <w:highlight w:val="none"/>
              </w:rPr>
              <w:t>9、食品安全监督管理综合协调：</w:t>
            </w:r>
            <w:r>
              <w:rPr>
                <w:rFonts w:hint="eastAsia" w:ascii="宋体" w:hAnsi="宋体" w:cs="宋体"/>
                <w:kern w:val="0"/>
                <w:sz w:val="24"/>
                <w:highlight w:val="none"/>
                <w:lang w:bidi="ar"/>
              </w:rPr>
              <w:t>制作食品安全短视频48个，维护市区食品安全宣传栏246个，6月召开市食安委全会议1次；园区聘请食品安全协管员12人，食品安全信息员60人；农村居民野生蘑菇中毒防控知识知晓率≥80%，市区街道（乡镇）、社区（村）食品安全宣传栏覆盖率为100%，10月完成对县市区食品安全考核，覆盖率为100%，对市本级食安委成员单位考核覆盖率为100%；制作食品安全短视频支出9.6万元，市区食品安全宣传栏维护支出10万元，园区聘请食品安全协管员47.4万元，聘请食品安全信息员13.92万元；通过加强食品安品综合治理，实现食品安全社会共治，食品安全监管水平不断提高</w:t>
            </w:r>
            <w:r>
              <w:rPr>
                <w:rFonts w:hint="eastAsia" w:ascii="宋体" w:hAnsi="宋体" w:cs="宋体"/>
                <w:kern w:val="0"/>
                <w:sz w:val="24"/>
                <w:highlight w:val="none"/>
                <w:lang w:eastAsia="zh-CN" w:bidi="ar"/>
              </w:rPr>
              <w:t>，</w:t>
            </w:r>
            <w:r>
              <w:rPr>
                <w:rFonts w:hint="eastAsia" w:ascii="宋体" w:hAnsi="宋体" w:cs="宋体"/>
                <w:kern w:val="0"/>
                <w:sz w:val="24"/>
                <w:highlight w:val="none"/>
                <w:lang w:bidi="ar"/>
              </w:rPr>
              <w:t>公众食品安全满意度</w:t>
            </w:r>
            <w:r>
              <w:rPr>
                <w:rFonts w:hint="eastAsia" w:ascii="宋体" w:hAnsi="宋体" w:cs="宋体"/>
                <w:kern w:val="0"/>
                <w:sz w:val="24"/>
                <w:highlight w:val="none"/>
                <w:lang w:val="en-US" w:eastAsia="zh-CN" w:bidi="ar"/>
              </w:rPr>
              <w:t>87.49%</w:t>
            </w:r>
            <w:r>
              <w:rPr>
                <w:rFonts w:hint="eastAsia" w:ascii="宋体" w:hAnsi="宋体" w:cs="宋体"/>
                <w:kern w:val="0"/>
                <w:sz w:val="24"/>
                <w:highlight w:val="none"/>
                <w:lang w:bidi="ar"/>
              </w:rPr>
              <w:t>。</w:t>
            </w:r>
          </w:p>
          <w:p>
            <w:pPr>
              <w:widowControl/>
              <w:ind w:firstLine="481" w:firstLineChars="200"/>
              <w:jc w:val="left"/>
              <w:textAlignment w:val="center"/>
              <w:rPr>
                <w:rFonts w:hint="eastAsia" w:ascii="宋体" w:hAnsi="宋体" w:cs="宋体"/>
                <w:kern w:val="0"/>
                <w:sz w:val="24"/>
                <w:highlight w:val="none"/>
                <w:lang w:bidi="ar"/>
              </w:rPr>
            </w:pPr>
            <w:r>
              <w:rPr>
                <w:rFonts w:hint="eastAsia" w:ascii="宋体" w:hAnsi="宋体" w:cs="宋体"/>
                <w:b/>
                <w:bCs/>
                <w:sz w:val="24"/>
                <w:highlight w:val="none"/>
              </w:rPr>
              <w:t>10、食品安全监督管理：</w:t>
            </w:r>
            <w:r>
              <w:rPr>
                <w:rFonts w:hint="eastAsia" w:ascii="宋体" w:hAnsi="宋体" w:cs="宋体"/>
                <w:kern w:val="0"/>
                <w:sz w:val="24"/>
                <w:highlight w:val="none"/>
                <w:lang w:bidi="ar"/>
              </w:rPr>
              <w:t>开展食品安全培训5次，开展全市食品经营企业督查</w:t>
            </w:r>
            <w:r>
              <w:rPr>
                <w:rFonts w:hint="eastAsia" w:ascii="宋体" w:hAnsi="宋体" w:cs="宋体"/>
                <w:kern w:val="0"/>
                <w:sz w:val="24"/>
                <w:highlight w:val="none"/>
                <w:lang w:val="en-US" w:eastAsia="zh-CN" w:bidi="ar"/>
              </w:rPr>
              <w:t>20</w:t>
            </w:r>
            <w:r>
              <w:rPr>
                <w:rFonts w:hint="eastAsia" w:ascii="宋体" w:hAnsi="宋体" w:cs="宋体"/>
                <w:kern w:val="0"/>
                <w:sz w:val="24"/>
                <w:highlight w:val="none"/>
                <w:lang w:bidi="ar"/>
              </w:rPr>
              <w:t>家，开展餐饮经营企业监督检查60家，开展市本级特殊食品经营企业监督检查20家，食品（含特殊食品）抽检3500批次；全市获证食品生产企业“双随机、一公开”抽查覆盖率为5%，市管获证特殊食品经营企业“双随机、一公开”抽查覆盖率为</w:t>
            </w:r>
            <w:r>
              <w:rPr>
                <w:rFonts w:hint="eastAsia" w:ascii="宋体" w:hAnsi="宋体" w:cs="宋体"/>
                <w:kern w:val="0"/>
                <w:sz w:val="24"/>
                <w:highlight w:val="none"/>
                <w:lang w:val="en-US" w:eastAsia="zh-CN" w:bidi="ar"/>
              </w:rPr>
              <w:t>5</w:t>
            </w:r>
            <w:r>
              <w:rPr>
                <w:rFonts w:hint="eastAsia" w:ascii="宋体" w:hAnsi="宋体" w:cs="宋体"/>
                <w:kern w:val="0"/>
                <w:sz w:val="24"/>
                <w:highlight w:val="none"/>
                <w:lang w:bidi="ar"/>
              </w:rPr>
              <w:t>%，市本级食品生产企业抽查覆盖率和食品（含特殊食品）不合格处置率均达到100%；食品（含特殊食品）抽检成本控制在900元/次，培训成本控制在440元/人，监管成本控制在2500元/次；保障食品安全，辖区内全年未发生重特大安全事故，食品安全监管能力水平不断提高</w:t>
            </w:r>
            <w:r>
              <w:rPr>
                <w:rFonts w:hint="eastAsia" w:ascii="宋体" w:hAnsi="宋体" w:cs="宋体"/>
                <w:kern w:val="0"/>
                <w:sz w:val="24"/>
                <w:highlight w:val="none"/>
                <w:lang w:eastAsia="zh-CN" w:bidi="ar"/>
              </w:rPr>
              <w:t>，</w:t>
            </w:r>
            <w:r>
              <w:rPr>
                <w:rFonts w:hint="eastAsia" w:ascii="宋体" w:hAnsi="宋体" w:cs="宋体"/>
                <w:kern w:val="0"/>
                <w:sz w:val="24"/>
                <w:highlight w:val="none"/>
                <w:lang w:val="en-US" w:eastAsia="zh-CN" w:bidi="ar"/>
              </w:rPr>
              <w:t>社会公众对食品安全监管的满意度90%</w:t>
            </w:r>
            <w:r>
              <w:rPr>
                <w:rFonts w:hint="eastAsia" w:ascii="宋体" w:hAnsi="宋体" w:cs="宋体"/>
                <w:kern w:val="0"/>
                <w:sz w:val="24"/>
                <w:highlight w:val="none"/>
                <w:lang w:bidi="ar"/>
              </w:rPr>
              <w:t>。</w:t>
            </w:r>
          </w:p>
          <w:p>
            <w:pPr>
              <w:widowControl/>
              <w:ind w:firstLine="481" w:firstLineChars="200"/>
              <w:jc w:val="left"/>
              <w:textAlignment w:val="center"/>
              <w:rPr>
                <w:rFonts w:hint="eastAsia" w:ascii="宋体" w:hAnsi="宋体" w:cs="宋体"/>
                <w:kern w:val="0"/>
                <w:sz w:val="24"/>
                <w:highlight w:val="none"/>
                <w:lang w:bidi="ar"/>
              </w:rPr>
            </w:pPr>
            <w:r>
              <w:rPr>
                <w:rFonts w:hint="eastAsia" w:ascii="宋体" w:hAnsi="宋体" w:cs="宋体"/>
                <w:b/>
                <w:bCs/>
                <w:kern w:val="0"/>
                <w:sz w:val="24"/>
                <w:highlight w:val="none"/>
                <w:lang w:bidi="ar"/>
              </w:rPr>
              <w:t>11、药品、医疗器械和化妆品标准、质量和安全管理：</w:t>
            </w:r>
            <w:r>
              <w:rPr>
                <w:rFonts w:hint="eastAsia" w:ascii="宋体" w:hAnsi="宋体" w:cs="宋体"/>
                <w:kern w:val="0"/>
                <w:sz w:val="24"/>
                <w:highlight w:val="none"/>
                <w:lang w:bidi="ar"/>
              </w:rPr>
              <w:t>开展“两品一械”业务培训</w:t>
            </w:r>
            <w:r>
              <w:rPr>
                <w:rFonts w:hint="eastAsia" w:ascii="宋体" w:hAnsi="宋体" w:cs="宋体"/>
                <w:kern w:val="0"/>
                <w:sz w:val="24"/>
                <w:highlight w:val="none"/>
                <w:lang w:val="en-US" w:eastAsia="zh-CN" w:bidi="ar"/>
              </w:rPr>
              <w:t>5</w:t>
            </w:r>
            <w:r>
              <w:rPr>
                <w:rFonts w:hint="eastAsia" w:ascii="宋体" w:hAnsi="宋体" w:cs="宋体"/>
                <w:kern w:val="0"/>
                <w:sz w:val="24"/>
                <w:highlight w:val="none"/>
                <w:lang w:bidi="ar"/>
              </w:rPr>
              <w:t>次，开展药品流通领域飞行检查</w:t>
            </w:r>
            <w:r>
              <w:rPr>
                <w:rFonts w:hint="eastAsia" w:ascii="宋体" w:hAnsi="宋体" w:cs="宋体"/>
                <w:kern w:val="0"/>
                <w:sz w:val="24"/>
                <w:highlight w:val="none"/>
                <w:lang w:val="en-US" w:eastAsia="zh-CN" w:bidi="ar"/>
              </w:rPr>
              <w:t>4</w:t>
            </w:r>
            <w:r>
              <w:rPr>
                <w:rFonts w:hint="eastAsia" w:ascii="宋体" w:hAnsi="宋体" w:cs="宋体"/>
                <w:kern w:val="0"/>
                <w:sz w:val="24"/>
                <w:highlight w:val="none"/>
                <w:lang w:bidi="ar"/>
              </w:rPr>
              <w:t>次，完成省局委托巡查的企业、医疗机构</w:t>
            </w:r>
            <w:r>
              <w:rPr>
                <w:rFonts w:hint="eastAsia" w:ascii="宋体" w:hAnsi="宋体" w:cs="宋体"/>
                <w:kern w:val="0"/>
                <w:sz w:val="24"/>
                <w:highlight w:val="none"/>
                <w:lang w:val="en-US" w:eastAsia="zh-CN" w:bidi="ar"/>
              </w:rPr>
              <w:t>20</w:t>
            </w:r>
            <w:r>
              <w:rPr>
                <w:rFonts w:hint="eastAsia" w:ascii="宋体" w:hAnsi="宋体" w:cs="宋体"/>
                <w:kern w:val="0"/>
                <w:sz w:val="24"/>
                <w:highlight w:val="none"/>
                <w:lang w:bidi="ar"/>
              </w:rPr>
              <w:t>家；完成化妆品抽检30批次，开展全市化妆品生产、经营企业监管</w:t>
            </w:r>
            <w:r>
              <w:rPr>
                <w:rFonts w:hint="eastAsia" w:ascii="宋体" w:hAnsi="宋体" w:cs="宋体"/>
                <w:kern w:val="0"/>
                <w:sz w:val="24"/>
                <w:highlight w:val="none"/>
                <w:lang w:val="en-US" w:eastAsia="zh-CN" w:bidi="ar"/>
              </w:rPr>
              <w:t>326</w:t>
            </w:r>
            <w:r>
              <w:rPr>
                <w:rFonts w:hint="eastAsia" w:ascii="宋体" w:hAnsi="宋体" w:cs="宋体"/>
                <w:kern w:val="0"/>
                <w:sz w:val="24"/>
                <w:highlight w:val="none"/>
                <w:lang w:bidi="ar"/>
              </w:rPr>
              <w:t>家，检查医疗器械生产、经营、使用单位</w:t>
            </w:r>
            <w:r>
              <w:rPr>
                <w:rFonts w:hint="eastAsia" w:ascii="宋体" w:hAnsi="宋体" w:cs="宋体"/>
                <w:kern w:val="0"/>
                <w:sz w:val="24"/>
                <w:highlight w:val="none"/>
                <w:lang w:val="en-US" w:eastAsia="zh-CN" w:bidi="ar"/>
              </w:rPr>
              <w:t>101</w:t>
            </w:r>
            <w:r>
              <w:rPr>
                <w:rFonts w:hint="eastAsia" w:ascii="宋体" w:hAnsi="宋体" w:cs="宋体"/>
                <w:kern w:val="0"/>
                <w:sz w:val="24"/>
                <w:highlight w:val="none"/>
                <w:lang w:bidi="ar"/>
              </w:rPr>
              <w:t>家，完成药品抽检20</w:t>
            </w:r>
            <w:r>
              <w:rPr>
                <w:rFonts w:hint="eastAsia" w:ascii="宋体" w:hAnsi="宋体" w:cs="宋体"/>
                <w:kern w:val="0"/>
                <w:sz w:val="24"/>
                <w:highlight w:val="none"/>
                <w:lang w:val="en-US" w:eastAsia="zh-CN" w:bidi="ar"/>
              </w:rPr>
              <w:t>1</w:t>
            </w:r>
            <w:r>
              <w:rPr>
                <w:rFonts w:hint="eastAsia" w:ascii="宋体" w:hAnsi="宋体" w:cs="宋体"/>
                <w:kern w:val="0"/>
                <w:sz w:val="24"/>
                <w:highlight w:val="none"/>
                <w:lang w:bidi="ar"/>
              </w:rPr>
              <w:t>批次，完成医疗器械抽检</w:t>
            </w:r>
            <w:r>
              <w:rPr>
                <w:rFonts w:hint="eastAsia" w:ascii="宋体" w:hAnsi="宋体" w:cs="宋体"/>
                <w:kern w:val="0"/>
                <w:sz w:val="24"/>
                <w:highlight w:val="none"/>
                <w:lang w:val="en-US" w:eastAsia="zh-CN" w:bidi="ar"/>
              </w:rPr>
              <w:t>4</w:t>
            </w:r>
            <w:r>
              <w:rPr>
                <w:rFonts w:hint="eastAsia" w:ascii="宋体" w:hAnsi="宋体" w:cs="宋体"/>
                <w:kern w:val="0"/>
                <w:sz w:val="24"/>
                <w:highlight w:val="none"/>
                <w:lang w:bidi="ar"/>
              </w:rPr>
              <w:t>0批次；开展特殊药品、专管药品的监管，未发生流弊，抽检完成率100%，抽检不合格产品处置率100%，化妆品企业监管覆盖率达到33%，完成疫苗监管体系评估任务，药品生产监管覆盖率100%；监督检查成本控制在2500元/人/次，药品抽检控制在500元/批次，医疗器械抽检控制在8</w:t>
            </w:r>
            <w:r>
              <w:rPr>
                <w:rFonts w:hint="eastAsia" w:ascii="宋体" w:hAnsi="宋体" w:cs="宋体"/>
                <w:kern w:val="0"/>
                <w:sz w:val="24"/>
                <w:highlight w:val="none"/>
                <w:lang w:val="en-US" w:eastAsia="zh-CN" w:bidi="ar"/>
              </w:rPr>
              <w:t>5</w:t>
            </w:r>
            <w:r>
              <w:rPr>
                <w:rFonts w:hint="eastAsia" w:ascii="宋体" w:hAnsi="宋体" w:cs="宋体"/>
                <w:kern w:val="0"/>
                <w:sz w:val="24"/>
                <w:highlight w:val="none"/>
                <w:lang w:bidi="ar"/>
              </w:rPr>
              <w:t>00元/批次，化妆品抽检控制在5000元/批次；通过加强监管，打击假冒伪劣产品制售行为，加强药械化监管水平，提高药械化产品质量，提高“两品一械”安全水平</w:t>
            </w:r>
            <w:r>
              <w:rPr>
                <w:rFonts w:hint="eastAsia" w:ascii="宋体" w:hAnsi="宋体" w:cs="宋体"/>
                <w:sz w:val="24"/>
                <w:highlight w:val="none"/>
              </w:rPr>
              <w:t>。</w:t>
            </w:r>
          </w:p>
          <w:p>
            <w:pPr>
              <w:widowControl/>
              <w:ind w:firstLine="481" w:firstLineChars="200"/>
              <w:jc w:val="left"/>
              <w:textAlignment w:val="center"/>
              <w:rPr>
                <w:rFonts w:hint="eastAsia" w:ascii="宋体" w:hAnsi="宋体" w:cs="宋体"/>
                <w:kern w:val="0"/>
                <w:sz w:val="24"/>
                <w:highlight w:val="none"/>
                <w:lang w:bidi="ar"/>
              </w:rPr>
            </w:pPr>
            <w:r>
              <w:rPr>
                <w:rFonts w:hint="eastAsia" w:ascii="宋体" w:hAnsi="宋体" w:cs="宋体"/>
                <w:b/>
                <w:bCs/>
                <w:sz w:val="24"/>
                <w:highlight w:val="none"/>
              </w:rPr>
              <w:t>12、药品、医疗器械和化妆品上市后风险管理：</w:t>
            </w:r>
            <w:r>
              <w:rPr>
                <w:rFonts w:hint="eastAsia" w:ascii="宋体" w:hAnsi="宋体" w:cs="宋体"/>
                <w:kern w:val="0"/>
                <w:sz w:val="24"/>
                <w:highlight w:val="none"/>
                <w:lang w:bidi="ar"/>
              </w:rPr>
              <w:t>出具药品不良反应报告</w:t>
            </w:r>
            <w:r>
              <w:rPr>
                <w:rFonts w:hint="eastAsia" w:ascii="宋体" w:hAnsi="宋体" w:cs="宋体"/>
                <w:kern w:val="0"/>
                <w:sz w:val="24"/>
                <w:highlight w:val="none"/>
                <w:lang w:val="en-US" w:eastAsia="zh-CN" w:bidi="ar"/>
              </w:rPr>
              <w:t>3309</w:t>
            </w:r>
            <w:r>
              <w:rPr>
                <w:rFonts w:hint="eastAsia" w:ascii="宋体" w:hAnsi="宋体" w:cs="宋体"/>
                <w:kern w:val="0"/>
                <w:sz w:val="24"/>
                <w:highlight w:val="none"/>
                <w:lang w:bidi="ar"/>
              </w:rPr>
              <w:t>份，医疗器械不良事件报告731份，药品不良反应报告</w:t>
            </w:r>
            <w:r>
              <w:rPr>
                <w:rFonts w:hint="eastAsia" w:ascii="宋体" w:hAnsi="宋体" w:cs="宋体"/>
                <w:kern w:val="0"/>
                <w:sz w:val="24"/>
                <w:highlight w:val="none"/>
                <w:lang w:val="en-US" w:eastAsia="zh-CN" w:bidi="ar"/>
              </w:rPr>
              <w:t>1118</w:t>
            </w:r>
            <w:r>
              <w:rPr>
                <w:rFonts w:hint="eastAsia" w:ascii="宋体" w:hAnsi="宋体" w:cs="宋体"/>
                <w:kern w:val="0"/>
                <w:sz w:val="24"/>
                <w:highlight w:val="none"/>
                <w:lang w:bidi="ar"/>
              </w:rPr>
              <w:t>份/百万人；药品严重不良反应报告数</w:t>
            </w:r>
            <w:r>
              <w:rPr>
                <w:rFonts w:hint="eastAsia" w:ascii="宋体" w:hAnsi="宋体" w:cs="宋体"/>
                <w:kern w:val="0"/>
                <w:sz w:val="24"/>
                <w:highlight w:val="none"/>
                <w:lang w:eastAsia="zh-CN" w:bidi="ar"/>
              </w:rPr>
              <w:t>占比</w:t>
            </w:r>
            <w:r>
              <w:rPr>
                <w:rFonts w:hint="eastAsia" w:ascii="宋体" w:hAnsi="宋体" w:cs="宋体"/>
                <w:kern w:val="0"/>
                <w:sz w:val="24"/>
                <w:highlight w:val="none"/>
                <w:lang w:val="en-US" w:eastAsia="zh-CN" w:bidi="ar"/>
              </w:rPr>
              <w:t>21.46</w:t>
            </w:r>
            <w:r>
              <w:rPr>
                <w:rFonts w:hint="eastAsia" w:ascii="宋体" w:hAnsi="宋体" w:cs="宋体"/>
                <w:kern w:val="0"/>
                <w:sz w:val="24"/>
                <w:highlight w:val="none"/>
                <w:lang w:bidi="ar"/>
              </w:rPr>
              <w:t>%，药品不良反应病例县（市、区）报告覆盖率100%，化妆品不良反应报告</w:t>
            </w:r>
            <w:r>
              <w:rPr>
                <w:rFonts w:hint="eastAsia" w:ascii="宋体" w:hAnsi="宋体" w:cs="宋体"/>
                <w:kern w:val="0"/>
                <w:sz w:val="24"/>
                <w:highlight w:val="none"/>
                <w:lang w:val="en-US" w:eastAsia="zh-CN" w:bidi="ar"/>
              </w:rPr>
              <w:t>181</w:t>
            </w:r>
            <w:r>
              <w:rPr>
                <w:rFonts w:hint="eastAsia" w:ascii="宋体" w:hAnsi="宋体" w:cs="宋体"/>
                <w:kern w:val="0"/>
                <w:sz w:val="24"/>
                <w:highlight w:val="none"/>
                <w:lang w:bidi="ar"/>
              </w:rPr>
              <w:t>份/百万人，医疗器械不良事件报告</w:t>
            </w:r>
            <w:r>
              <w:rPr>
                <w:rFonts w:hint="eastAsia" w:ascii="宋体" w:hAnsi="宋体" w:cs="宋体"/>
                <w:kern w:val="0"/>
                <w:sz w:val="24"/>
                <w:highlight w:val="none"/>
                <w:lang w:val="en-US" w:eastAsia="zh-CN" w:bidi="ar"/>
              </w:rPr>
              <w:t>411</w:t>
            </w:r>
            <w:r>
              <w:rPr>
                <w:rFonts w:hint="eastAsia" w:ascii="宋体" w:hAnsi="宋体" w:cs="宋体"/>
                <w:kern w:val="0"/>
                <w:sz w:val="24"/>
                <w:highlight w:val="none"/>
                <w:lang w:bidi="ar"/>
              </w:rPr>
              <w:t>份/百万人，医疗器械不良事件严重报告占比</w:t>
            </w:r>
            <w:r>
              <w:rPr>
                <w:rFonts w:hint="eastAsia" w:ascii="宋体" w:hAnsi="宋体" w:cs="宋体"/>
                <w:kern w:val="0"/>
                <w:sz w:val="24"/>
                <w:highlight w:val="none"/>
                <w:lang w:val="en-US" w:eastAsia="zh-CN" w:bidi="ar"/>
              </w:rPr>
              <w:t>97</w:t>
            </w:r>
            <w:r>
              <w:rPr>
                <w:rFonts w:hint="eastAsia" w:ascii="宋体" w:hAnsi="宋体" w:cs="宋体"/>
                <w:kern w:val="0"/>
                <w:sz w:val="24"/>
                <w:highlight w:val="none"/>
                <w:lang w:bidi="ar"/>
              </w:rPr>
              <w:t>份/百万人，医疗器械不良事件县（市、区）报告覆盖率100%；不良反应监测培训成本控制在</w:t>
            </w:r>
            <w:r>
              <w:rPr>
                <w:rFonts w:hint="eastAsia" w:ascii="宋体" w:hAnsi="宋体" w:cs="宋体"/>
                <w:kern w:val="0"/>
                <w:sz w:val="24"/>
                <w:highlight w:val="none"/>
                <w:lang w:val="en-US" w:eastAsia="zh-CN" w:bidi="ar"/>
              </w:rPr>
              <w:t>150</w:t>
            </w:r>
            <w:r>
              <w:rPr>
                <w:rFonts w:hint="eastAsia" w:ascii="宋体" w:hAnsi="宋体" w:cs="宋体"/>
                <w:kern w:val="0"/>
                <w:sz w:val="24"/>
                <w:highlight w:val="none"/>
                <w:lang w:bidi="ar"/>
              </w:rPr>
              <w:t>元/人；通过不良反应监测，提高药品、化妆品、医疗器械产品质量及使用安全，药品、化妆品、医疗器械不良反应监测水平不断提高。</w:t>
            </w:r>
          </w:p>
          <w:p>
            <w:pPr>
              <w:pStyle w:val="5"/>
              <w:ind w:firstLine="481" w:firstLineChars="200"/>
              <w:rPr>
                <w:rFonts w:hint="eastAsia" w:ascii="宋体" w:hAnsi="宋体" w:cs="宋体"/>
                <w:sz w:val="24"/>
                <w:szCs w:val="24"/>
                <w:highlight w:val="none"/>
              </w:rPr>
            </w:pPr>
            <w:r>
              <w:rPr>
                <w:rFonts w:hint="eastAsia" w:ascii="宋体" w:hAnsi="宋体" w:cs="宋体"/>
                <w:b/>
                <w:bCs/>
                <w:sz w:val="24"/>
                <w:szCs w:val="24"/>
                <w:highlight w:val="none"/>
              </w:rPr>
              <w:t>13、计量管理：</w:t>
            </w:r>
            <w:r>
              <w:rPr>
                <w:rFonts w:hint="eastAsia" w:ascii="宋体" w:hAnsi="宋体" w:cs="宋体"/>
                <w:kern w:val="0"/>
                <w:sz w:val="24"/>
                <w:szCs w:val="24"/>
                <w:highlight w:val="none"/>
                <w:lang w:bidi="ar"/>
              </w:rPr>
              <w:t>完成计量“双随机”监督检查项目40个，计量监督抽查4项，计量标准考核</w:t>
            </w:r>
            <w:r>
              <w:rPr>
                <w:rFonts w:hint="eastAsia" w:ascii="宋体" w:hAnsi="宋体" w:cs="宋体"/>
                <w:kern w:val="0"/>
                <w:sz w:val="24"/>
                <w:szCs w:val="24"/>
                <w:highlight w:val="none"/>
                <w:lang w:val="en-US" w:eastAsia="zh-CN" w:bidi="ar"/>
              </w:rPr>
              <w:t>6</w:t>
            </w:r>
            <w:r>
              <w:rPr>
                <w:rFonts w:hint="eastAsia" w:ascii="宋体" w:hAnsi="宋体" w:cs="宋体"/>
                <w:kern w:val="0"/>
                <w:sz w:val="24"/>
                <w:szCs w:val="24"/>
                <w:highlight w:val="none"/>
                <w:lang w:bidi="ar"/>
              </w:rPr>
              <w:t>批次，开展能效标识计量监督检查</w:t>
            </w:r>
            <w:r>
              <w:rPr>
                <w:rFonts w:hint="eastAsia" w:ascii="宋体" w:hAnsi="宋体" w:cs="宋体"/>
                <w:kern w:val="0"/>
                <w:sz w:val="24"/>
                <w:szCs w:val="24"/>
                <w:highlight w:val="none"/>
                <w:lang w:val="en-US" w:eastAsia="zh-CN" w:bidi="ar"/>
              </w:rPr>
              <w:t>10</w:t>
            </w:r>
            <w:r>
              <w:rPr>
                <w:rFonts w:hint="eastAsia" w:ascii="宋体" w:hAnsi="宋体" w:cs="宋体"/>
                <w:kern w:val="0"/>
                <w:sz w:val="24"/>
                <w:szCs w:val="24"/>
                <w:highlight w:val="none"/>
                <w:lang w:bidi="ar"/>
              </w:rPr>
              <w:t>家；举办计量法律法规、计量规程宣贯和计量监管培训班</w:t>
            </w:r>
            <w:r>
              <w:rPr>
                <w:rFonts w:hint="eastAsia" w:ascii="宋体" w:hAnsi="宋体" w:cs="宋体"/>
                <w:kern w:val="0"/>
                <w:sz w:val="24"/>
                <w:szCs w:val="24"/>
                <w:highlight w:val="none"/>
                <w:lang w:val="en-US" w:eastAsia="zh-CN" w:bidi="ar"/>
              </w:rPr>
              <w:t>1期，</w:t>
            </w:r>
            <w:r>
              <w:rPr>
                <w:rFonts w:hint="eastAsia" w:ascii="宋体" w:hAnsi="宋体" w:cs="宋体"/>
                <w:kern w:val="0"/>
                <w:sz w:val="24"/>
                <w:szCs w:val="24"/>
                <w:highlight w:val="none"/>
                <w:lang w:bidi="ar"/>
              </w:rPr>
              <w:t>计量标准考核按期完成；培训成本控制在440元/人；进一步推动计量监管工作，计量总体水平不断提升，全市各行业计量符合标准，行业稳定发展</w:t>
            </w:r>
            <w:r>
              <w:rPr>
                <w:rFonts w:hint="eastAsia" w:ascii="宋体" w:hAnsi="宋体" w:cs="宋体"/>
                <w:sz w:val="24"/>
                <w:szCs w:val="24"/>
                <w:highlight w:val="none"/>
              </w:rPr>
              <w:t>。</w:t>
            </w:r>
          </w:p>
          <w:p>
            <w:pPr>
              <w:pStyle w:val="5"/>
              <w:ind w:firstLine="481" w:firstLineChars="200"/>
              <w:rPr>
                <w:rFonts w:hint="eastAsia" w:ascii="宋体" w:hAnsi="宋体" w:cs="宋体"/>
                <w:kern w:val="0"/>
                <w:sz w:val="24"/>
                <w:szCs w:val="24"/>
                <w:highlight w:val="none"/>
                <w:lang w:bidi="ar"/>
              </w:rPr>
            </w:pPr>
            <w:r>
              <w:rPr>
                <w:rFonts w:hint="eastAsia" w:ascii="宋体" w:hAnsi="宋体" w:cs="宋体"/>
                <w:b/>
                <w:bCs/>
                <w:sz w:val="24"/>
                <w:szCs w:val="24"/>
                <w:highlight w:val="none"/>
              </w:rPr>
              <w:t>14、标准化管理：</w:t>
            </w:r>
            <w:r>
              <w:rPr>
                <w:rFonts w:hint="eastAsia" w:ascii="宋体" w:hAnsi="宋体" w:cs="宋体"/>
                <w:kern w:val="0"/>
                <w:sz w:val="24"/>
                <w:szCs w:val="24"/>
                <w:highlight w:val="none"/>
                <w:lang w:eastAsia="zh-CN" w:bidi="ar"/>
              </w:rPr>
              <w:t>开展</w:t>
            </w:r>
            <w:r>
              <w:rPr>
                <w:rFonts w:hint="eastAsia" w:ascii="宋体" w:hAnsi="宋体" w:cs="宋体"/>
                <w:kern w:val="0"/>
                <w:sz w:val="24"/>
                <w:szCs w:val="24"/>
                <w:highlight w:val="none"/>
                <w:lang w:bidi="ar"/>
              </w:rPr>
              <w:t>机关内部规范管理标准体系研究及推广</w:t>
            </w:r>
            <w:r>
              <w:rPr>
                <w:rFonts w:hint="eastAsia" w:ascii="宋体" w:hAnsi="宋体" w:cs="宋体"/>
                <w:kern w:val="0"/>
                <w:sz w:val="24"/>
                <w:szCs w:val="24"/>
                <w:highlight w:val="none"/>
                <w:lang w:eastAsia="zh-CN" w:bidi="ar"/>
              </w:rPr>
              <w:t>工作</w:t>
            </w:r>
            <w:r>
              <w:rPr>
                <w:rFonts w:hint="eastAsia" w:ascii="宋体" w:hAnsi="宋体" w:cs="宋体"/>
                <w:kern w:val="0"/>
                <w:sz w:val="24"/>
                <w:szCs w:val="24"/>
                <w:highlight w:val="none"/>
                <w:lang w:bidi="ar"/>
              </w:rPr>
              <w:t>，</w:t>
            </w:r>
            <w:r>
              <w:rPr>
                <w:rFonts w:hint="eastAsia" w:ascii="宋体" w:hAnsi="宋体" w:cs="宋体"/>
                <w:kern w:val="0"/>
                <w:sz w:val="24"/>
                <w:szCs w:val="24"/>
                <w:highlight w:val="none"/>
                <w:lang w:eastAsia="zh-CN" w:bidi="ar"/>
              </w:rPr>
              <w:t>完成</w:t>
            </w:r>
            <w:r>
              <w:rPr>
                <w:rFonts w:hint="eastAsia" w:ascii="宋体" w:hAnsi="宋体" w:cs="宋体"/>
                <w:kern w:val="0"/>
                <w:sz w:val="24"/>
                <w:szCs w:val="24"/>
                <w:highlight w:val="none"/>
                <w:lang w:bidi="ar"/>
              </w:rPr>
              <w:t>毛泽东主席工艺塑像地方标准修订发布和机关内部规范管理标准体系构建及标准；毛泽东主席工艺塑像地方标准评审及发布支出</w:t>
            </w:r>
            <w:r>
              <w:rPr>
                <w:rFonts w:hint="eastAsia" w:ascii="宋体" w:hAnsi="宋体" w:cs="宋体"/>
                <w:kern w:val="0"/>
                <w:sz w:val="24"/>
                <w:szCs w:val="24"/>
                <w:highlight w:val="none"/>
                <w:lang w:val="en-US" w:eastAsia="zh-CN" w:bidi="ar"/>
              </w:rPr>
              <w:t>8.1</w:t>
            </w:r>
            <w:r>
              <w:rPr>
                <w:rFonts w:hint="eastAsia" w:ascii="宋体" w:hAnsi="宋体" w:cs="宋体"/>
                <w:kern w:val="0"/>
                <w:sz w:val="24"/>
                <w:szCs w:val="24"/>
                <w:highlight w:val="none"/>
                <w:lang w:bidi="ar"/>
              </w:rPr>
              <w:t>万元；制定发布标准，规范行业行为，提升产品及服务质量，掌握行业话语权，促进地方优势产业发展标准化试点单位满意度</w:t>
            </w:r>
            <w:r>
              <w:rPr>
                <w:rFonts w:hint="eastAsia" w:ascii="宋体" w:hAnsi="宋体" w:cs="宋体"/>
                <w:kern w:val="0"/>
                <w:sz w:val="24"/>
                <w:szCs w:val="24"/>
                <w:highlight w:val="none"/>
                <w:lang w:val="en-US" w:eastAsia="zh-CN" w:bidi="ar"/>
              </w:rPr>
              <w:t>100%</w:t>
            </w:r>
            <w:r>
              <w:rPr>
                <w:rFonts w:hint="eastAsia" w:ascii="宋体" w:hAnsi="宋体" w:cs="宋体"/>
                <w:kern w:val="0"/>
                <w:sz w:val="24"/>
                <w:szCs w:val="24"/>
                <w:highlight w:val="none"/>
                <w:lang w:bidi="ar"/>
              </w:rPr>
              <w:t>。</w:t>
            </w:r>
          </w:p>
          <w:p>
            <w:pPr>
              <w:widowControl/>
              <w:ind w:firstLine="481" w:firstLineChars="200"/>
              <w:jc w:val="left"/>
              <w:textAlignment w:val="center"/>
              <w:rPr>
                <w:rFonts w:hint="eastAsia" w:ascii="宋体" w:hAnsi="宋体" w:cs="宋体"/>
                <w:kern w:val="0"/>
                <w:sz w:val="24"/>
                <w:highlight w:val="none"/>
                <w:lang w:bidi="ar"/>
              </w:rPr>
            </w:pPr>
            <w:r>
              <w:rPr>
                <w:rFonts w:hint="eastAsia" w:ascii="宋体" w:hAnsi="宋体" w:cs="宋体"/>
                <w:b/>
                <w:bCs/>
                <w:sz w:val="24"/>
                <w:highlight w:val="none"/>
              </w:rPr>
              <w:t>15、检验检测管理、认证认可工作管理：</w:t>
            </w:r>
            <w:r>
              <w:rPr>
                <w:rFonts w:hint="eastAsia" w:ascii="宋体" w:hAnsi="宋体" w:cs="宋体"/>
                <w:kern w:val="0"/>
                <w:sz w:val="24"/>
                <w:highlight w:val="none"/>
                <w:lang w:bidi="ar"/>
              </w:rPr>
              <w:t>完成认证认可从业人员培训1次，6月开展“世界认可日”宣传活动1次；全市检验检测机构“双随机”监督检查比率20%；认证认可从业人员培训成本控制在440元/人；不断提高认证认可从业人员的监管水平</w:t>
            </w:r>
            <w:r>
              <w:rPr>
                <w:rFonts w:hint="eastAsia" w:ascii="宋体" w:hAnsi="宋体" w:cs="宋体"/>
                <w:kern w:val="0"/>
                <w:sz w:val="24"/>
                <w:highlight w:val="none"/>
                <w:lang w:eastAsia="zh-CN" w:bidi="ar"/>
              </w:rPr>
              <w:t>，监管机构满意度</w:t>
            </w:r>
            <w:r>
              <w:rPr>
                <w:rFonts w:hint="default" w:ascii="宋体" w:hAnsi="宋体" w:cs="宋体"/>
                <w:kern w:val="0"/>
                <w:sz w:val="24"/>
                <w:highlight w:val="none"/>
                <w:lang w:val="en" w:eastAsia="zh-CN" w:bidi="ar"/>
              </w:rPr>
              <w:t>90</w:t>
            </w:r>
            <w:r>
              <w:rPr>
                <w:rFonts w:hint="eastAsia" w:ascii="宋体" w:hAnsi="宋体" w:cs="宋体"/>
                <w:kern w:val="0"/>
                <w:sz w:val="24"/>
                <w:highlight w:val="none"/>
                <w:lang w:val="en-US" w:eastAsia="zh-CN" w:bidi="ar"/>
              </w:rPr>
              <w:t>%</w:t>
            </w:r>
            <w:r>
              <w:rPr>
                <w:rFonts w:hint="eastAsia" w:ascii="宋体" w:hAnsi="宋体" w:cs="宋体"/>
                <w:kern w:val="0"/>
                <w:sz w:val="24"/>
                <w:highlight w:val="none"/>
                <w:lang w:bidi="ar"/>
              </w:rPr>
              <w:t>。</w:t>
            </w:r>
          </w:p>
          <w:p>
            <w:pPr>
              <w:widowControl/>
              <w:ind w:firstLine="481" w:firstLineChars="200"/>
              <w:jc w:val="left"/>
              <w:textAlignment w:val="center"/>
              <w:rPr>
                <w:rFonts w:hint="eastAsia" w:ascii="宋体" w:hAnsi="宋体" w:cs="宋体"/>
                <w:kern w:val="0"/>
                <w:sz w:val="24"/>
                <w:highlight w:val="none"/>
                <w:lang w:bidi="ar"/>
              </w:rPr>
            </w:pPr>
            <w:r>
              <w:rPr>
                <w:rFonts w:hint="eastAsia" w:ascii="宋体" w:hAnsi="宋体" w:cs="宋体"/>
                <w:b/>
                <w:bCs/>
                <w:sz w:val="24"/>
                <w:highlight w:val="none"/>
              </w:rPr>
              <w:t>16、信息化建设、新闻宣传、对外交流与合作：</w:t>
            </w:r>
            <w:r>
              <w:rPr>
                <w:rFonts w:hint="eastAsia" w:ascii="宋体" w:hAnsi="宋体" w:cs="宋体"/>
                <w:kern w:val="0"/>
                <w:sz w:val="24"/>
                <w:highlight w:val="none"/>
                <w:lang w:bidi="ar"/>
              </w:rPr>
              <w:t>与新闻媒体合作</w:t>
            </w:r>
            <w:r>
              <w:rPr>
                <w:rFonts w:hint="eastAsia" w:ascii="宋体" w:hAnsi="宋体" w:cs="宋体"/>
                <w:kern w:val="0"/>
                <w:sz w:val="24"/>
                <w:highlight w:val="none"/>
                <w:lang w:val="en-US" w:eastAsia="zh-CN" w:bidi="ar"/>
              </w:rPr>
              <w:t>7</w:t>
            </w:r>
            <w:r>
              <w:rPr>
                <w:rFonts w:hint="eastAsia" w:ascii="宋体" w:hAnsi="宋体" w:cs="宋体"/>
                <w:kern w:val="0"/>
                <w:sz w:val="24"/>
                <w:highlight w:val="none"/>
                <w:lang w:bidi="ar"/>
              </w:rPr>
              <w:t>家，刊发、播发宣传稿件</w:t>
            </w:r>
            <w:r>
              <w:rPr>
                <w:rFonts w:hint="eastAsia" w:ascii="宋体" w:hAnsi="宋体" w:cs="宋体"/>
                <w:kern w:val="0"/>
                <w:sz w:val="24"/>
                <w:highlight w:val="none"/>
                <w:lang w:val="en-US" w:eastAsia="zh-CN" w:bidi="ar"/>
              </w:rPr>
              <w:t>138</w:t>
            </w:r>
            <w:r>
              <w:rPr>
                <w:rFonts w:hint="eastAsia" w:ascii="宋体" w:hAnsi="宋体" w:cs="宋体"/>
                <w:kern w:val="0"/>
                <w:sz w:val="24"/>
                <w:highlight w:val="none"/>
                <w:lang w:bidi="ar"/>
              </w:rPr>
              <w:t>次，开展主题宣传活动</w:t>
            </w:r>
            <w:r>
              <w:rPr>
                <w:rFonts w:hint="eastAsia" w:ascii="宋体" w:hAnsi="宋体" w:cs="宋体"/>
                <w:kern w:val="0"/>
                <w:sz w:val="24"/>
                <w:highlight w:val="none"/>
                <w:lang w:val="en-US" w:eastAsia="zh-CN" w:bidi="ar"/>
              </w:rPr>
              <w:t>13</w:t>
            </w:r>
            <w:r>
              <w:rPr>
                <w:rFonts w:hint="eastAsia" w:ascii="宋体" w:hAnsi="宋体" w:cs="宋体"/>
                <w:kern w:val="0"/>
                <w:sz w:val="24"/>
                <w:highlight w:val="none"/>
                <w:lang w:bidi="ar"/>
              </w:rPr>
              <w:t>次；未发生重大新闻报道采编事故，9月完成视频会议室建设，业务线路畅通率100%；信息化设务维护、维保支出6.46万元，新闻媒体合作支出</w:t>
            </w:r>
            <w:r>
              <w:rPr>
                <w:rFonts w:hint="eastAsia" w:ascii="宋体" w:hAnsi="宋体" w:cs="宋体"/>
                <w:kern w:val="0"/>
                <w:sz w:val="24"/>
                <w:highlight w:val="none"/>
                <w:lang w:val="en-US" w:eastAsia="zh-CN" w:bidi="ar"/>
              </w:rPr>
              <w:t>121.89</w:t>
            </w:r>
            <w:r>
              <w:rPr>
                <w:rFonts w:hint="eastAsia" w:ascii="宋体" w:hAnsi="宋体" w:cs="宋体"/>
                <w:kern w:val="0"/>
                <w:sz w:val="24"/>
                <w:highlight w:val="none"/>
                <w:lang w:bidi="ar"/>
              </w:rPr>
              <w:t>万元；通过各项宣传活动，提升各类市场主体规范运营意识，营造良好监管氛围，通过出台知识产权保护的实施方案，强化产权保护，鼓励创新发展；相关产权主体满意度达到90%。</w:t>
            </w:r>
          </w:p>
          <w:p>
            <w:pPr>
              <w:widowControl/>
              <w:ind w:firstLine="481" w:firstLineChars="200"/>
              <w:jc w:val="left"/>
              <w:textAlignment w:val="center"/>
              <w:rPr>
                <w:rFonts w:hint="eastAsia" w:ascii="宋体" w:hAnsi="宋体" w:cs="宋体"/>
                <w:kern w:val="0"/>
                <w:sz w:val="24"/>
                <w:highlight w:val="none"/>
                <w:lang w:bidi="ar"/>
              </w:rPr>
            </w:pPr>
            <w:r>
              <w:rPr>
                <w:rFonts w:hint="eastAsia" w:ascii="宋体" w:hAnsi="宋体" w:cs="宋体"/>
                <w:b/>
                <w:bCs/>
                <w:sz w:val="24"/>
                <w:highlight w:val="none"/>
              </w:rPr>
              <w:t>17、知识产权战略管理</w:t>
            </w:r>
            <w:r>
              <w:rPr>
                <w:rFonts w:hint="eastAsia" w:ascii="宋体" w:hAnsi="宋体" w:cs="宋体"/>
                <w:b/>
                <w:bCs/>
                <w:sz w:val="24"/>
                <w:highlight w:val="none"/>
                <w:lang w:eastAsia="zh-CN"/>
              </w:rPr>
              <w:t>、知识产权保护、</w:t>
            </w:r>
            <w:r>
              <w:rPr>
                <w:rFonts w:hint="eastAsia" w:ascii="宋体" w:hAnsi="宋体" w:cs="宋体"/>
                <w:b/>
                <w:bCs/>
                <w:sz w:val="24"/>
                <w:highlight w:val="none"/>
              </w:rPr>
              <w:t>知识产权创造运用：</w:t>
            </w:r>
            <w:r>
              <w:rPr>
                <w:rFonts w:hint="eastAsia" w:ascii="宋体" w:hAnsi="宋体" w:cs="宋体"/>
                <w:kern w:val="0"/>
                <w:sz w:val="24"/>
                <w:highlight w:val="none"/>
                <w:lang w:bidi="ar"/>
              </w:rPr>
              <w:t>开办知识产权执法能力培训1次，开办中小企业知识产权保护培训班</w:t>
            </w:r>
            <w:r>
              <w:rPr>
                <w:rFonts w:hint="eastAsia" w:ascii="宋体" w:hAnsi="宋体" w:cs="宋体"/>
                <w:kern w:val="0"/>
                <w:sz w:val="24"/>
                <w:highlight w:val="none"/>
                <w:lang w:val="en-US" w:eastAsia="zh-CN" w:bidi="ar"/>
              </w:rPr>
              <w:t>1次，培训人次达</w:t>
            </w:r>
            <w:r>
              <w:rPr>
                <w:rFonts w:hint="default" w:ascii="宋体" w:hAnsi="宋体" w:cs="宋体"/>
                <w:kern w:val="0"/>
                <w:sz w:val="24"/>
                <w:highlight w:val="none"/>
                <w:lang w:val="en" w:eastAsia="zh-CN" w:bidi="ar"/>
              </w:rPr>
              <w:t>225</w:t>
            </w:r>
            <w:r>
              <w:rPr>
                <w:rFonts w:hint="eastAsia" w:ascii="宋体" w:hAnsi="宋体" w:cs="宋体"/>
                <w:kern w:val="0"/>
                <w:sz w:val="24"/>
                <w:highlight w:val="none"/>
                <w:lang w:val="en" w:eastAsia="zh-CN" w:bidi="ar"/>
              </w:rPr>
              <w:t>人，</w:t>
            </w:r>
            <w:r>
              <w:rPr>
                <w:rFonts w:hint="eastAsia" w:ascii="宋体" w:hAnsi="宋体" w:cs="宋体"/>
                <w:kern w:val="0"/>
                <w:sz w:val="24"/>
                <w:highlight w:val="none"/>
                <w:lang w:bidi="ar"/>
              </w:rPr>
              <w:t>开展知识产权保护相关宣传活动4次，知识产权宣传资料印刷</w:t>
            </w:r>
            <w:r>
              <w:rPr>
                <w:rFonts w:hint="eastAsia" w:ascii="宋体" w:hAnsi="宋体" w:cs="宋体"/>
                <w:kern w:val="0"/>
                <w:sz w:val="24"/>
                <w:highlight w:val="none"/>
                <w:lang w:val="en-US" w:eastAsia="zh-CN" w:bidi="ar"/>
              </w:rPr>
              <w:t>1批，</w:t>
            </w:r>
            <w:r>
              <w:rPr>
                <w:rFonts w:hint="eastAsia" w:ascii="宋体" w:hAnsi="宋体" w:cs="宋体"/>
                <w:kern w:val="0"/>
                <w:sz w:val="24"/>
                <w:highlight w:val="none"/>
                <w:lang w:bidi="ar"/>
              </w:rPr>
              <w:t>出具专利统计分析报告</w:t>
            </w:r>
            <w:r>
              <w:rPr>
                <w:rFonts w:hint="eastAsia" w:ascii="宋体" w:hAnsi="宋体" w:cs="宋体"/>
                <w:kern w:val="0"/>
                <w:sz w:val="24"/>
                <w:highlight w:val="none"/>
                <w:lang w:val="en-US" w:eastAsia="zh-CN" w:bidi="ar"/>
              </w:rPr>
              <w:t>12</w:t>
            </w:r>
            <w:r>
              <w:rPr>
                <w:rFonts w:hint="eastAsia" w:ascii="宋体" w:hAnsi="宋体" w:cs="宋体"/>
                <w:kern w:val="0"/>
                <w:sz w:val="24"/>
                <w:highlight w:val="none"/>
                <w:lang w:bidi="ar"/>
              </w:rPr>
              <w:t>份；新增知识产权优势企业3家，开展知识产权培训1期，培训</w:t>
            </w:r>
            <w:r>
              <w:rPr>
                <w:rFonts w:hint="eastAsia" w:ascii="宋体" w:hAnsi="宋体" w:cs="宋体"/>
                <w:kern w:val="0"/>
                <w:sz w:val="24"/>
                <w:highlight w:val="none"/>
                <w:lang w:val="en-US" w:eastAsia="zh-CN" w:bidi="ar"/>
              </w:rPr>
              <w:t>60</w:t>
            </w:r>
            <w:r>
              <w:rPr>
                <w:rFonts w:hint="eastAsia" w:ascii="宋体" w:hAnsi="宋体" w:cs="宋体"/>
                <w:kern w:val="0"/>
                <w:sz w:val="24"/>
                <w:highlight w:val="none"/>
                <w:lang w:bidi="ar"/>
              </w:rPr>
              <w:t>人；已申报中国专利奖3项，湖南省专利奖已申报</w:t>
            </w:r>
            <w:r>
              <w:rPr>
                <w:rFonts w:hint="eastAsia" w:ascii="宋体" w:hAnsi="宋体" w:cs="宋体"/>
                <w:kern w:val="0"/>
                <w:sz w:val="24"/>
                <w:highlight w:val="none"/>
                <w:lang w:val="en-US" w:eastAsia="zh-CN" w:bidi="ar"/>
              </w:rPr>
              <w:t>9</w:t>
            </w:r>
            <w:r>
              <w:rPr>
                <w:rFonts w:hint="eastAsia" w:ascii="宋体" w:hAnsi="宋体" w:cs="宋体"/>
                <w:kern w:val="0"/>
                <w:sz w:val="24"/>
                <w:highlight w:val="none"/>
                <w:lang w:bidi="ar"/>
              </w:rPr>
              <w:t>项，专利行政执法案件规定期限内结案率100%，全市每万人发明专利拥有量</w:t>
            </w:r>
            <w:r>
              <w:rPr>
                <w:rFonts w:hint="default" w:ascii="宋体" w:hAnsi="宋体" w:cs="宋体"/>
                <w:kern w:val="0"/>
                <w:sz w:val="24"/>
                <w:highlight w:val="none"/>
                <w:lang w:val="en" w:bidi="ar"/>
              </w:rPr>
              <w:t>2</w:t>
            </w:r>
            <w:r>
              <w:rPr>
                <w:rFonts w:hint="eastAsia" w:ascii="宋体" w:hAnsi="宋体" w:cs="宋体"/>
                <w:kern w:val="0"/>
                <w:sz w:val="24"/>
                <w:highlight w:val="none"/>
                <w:lang w:val="en-US" w:eastAsia="zh-CN" w:bidi="ar"/>
              </w:rPr>
              <w:t>0.07</w:t>
            </w:r>
            <w:r>
              <w:rPr>
                <w:rFonts w:hint="eastAsia" w:ascii="宋体" w:hAnsi="宋体" w:cs="宋体"/>
                <w:kern w:val="0"/>
                <w:sz w:val="24"/>
                <w:highlight w:val="none"/>
                <w:lang w:bidi="ar"/>
              </w:rPr>
              <w:t>件，全市专利代理率70%；开办知识产权执法能力培训支出0.8万元，开展知识产权保护相关宣传活动支出0.</w:t>
            </w:r>
            <w:r>
              <w:rPr>
                <w:rFonts w:hint="eastAsia" w:ascii="宋体" w:hAnsi="宋体" w:cs="宋体"/>
                <w:kern w:val="0"/>
                <w:sz w:val="24"/>
                <w:highlight w:val="none"/>
                <w:lang w:val="en-US" w:eastAsia="zh-CN" w:bidi="ar"/>
              </w:rPr>
              <w:t>43</w:t>
            </w:r>
            <w:r>
              <w:rPr>
                <w:rFonts w:hint="eastAsia" w:ascii="宋体" w:hAnsi="宋体" w:cs="宋体"/>
                <w:kern w:val="0"/>
                <w:sz w:val="24"/>
                <w:highlight w:val="none"/>
                <w:lang w:bidi="ar"/>
              </w:rPr>
              <w:t>万元，宣传资料印刷支出0.</w:t>
            </w:r>
            <w:r>
              <w:rPr>
                <w:rFonts w:hint="eastAsia" w:ascii="宋体" w:hAnsi="宋体" w:cs="宋体"/>
                <w:kern w:val="0"/>
                <w:sz w:val="24"/>
                <w:highlight w:val="none"/>
                <w:lang w:val="en-US" w:eastAsia="zh-CN" w:bidi="ar"/>
              </w:rPr>
              <w:t>43</w:t>
            </w:r>
            <w:r>
              <w:rPr>
                <w:rFonts w:hint="eastAsia" w:ascii="宋体" w:hAnsi="宋体" w:cs="宋体"/>
                <w:kern w:val="0"/>
                <w:sz w:val="24"/>
                <w:highlight w:val="none"/>
                <w:lang w:bidi="ar"/>
              </w:rPr>
              <w:t>万元，专利统计分析服务支出10万元，开展知识产权促进、知识产权运用宣传活动，知识产权促进宣传活动支出</w:t>
            </w:r>
            <w:r>
              <w:rPr>
                <w:rFonts w:hint="default" w:ascii="宋体" w:hAnsi="宋体" w:cs="宋体"/>
                <w:kern w:val="0"/>
                <w:sz w:val="24"/>
                <w:highlight w:val="none"/>
                <w:lang w:val="en" w:bidi="ar"/>
              </w:rPr>
              <w:t>1</w:t>
            </w:r>
            <w:r>
              <w:rPr>
                <w:rFonts w:hint="eastAsia" w:ascii="宋体" w:hAnsi="宋体" w:cs="宋体"/>
                <w:kern w:val="0"/>
                <w:sz w:val="24"/>
                <w:highlight w:val="none"/>
                <w:lang w:val="en-US" w:eastAsia="zh-CN" w:bidi="ar"/>
              </w:rPr>
              <w:t>3万元，</w:t>
            </w:r>
            <w:r>
              <w:rPr>
                <w:rFonts w:hint="eastAsia" w:ascii="宋体" w:hAnsi="宋体" w:cs="宋体"/>
                <w:kern w:val="0"/>
                <w:sz w:val="24"/>
                <w:highlight w:val="none"/>
                <w:lang w:bidi="ar"/>
              </w:rPr>
              <w:t>知识产权运用培训支出0.2万元，知识产权运用宣活动支出1.</w:t>
            </w:r>
            <w:r>
              <w:rPr>
                <w:rFonts w:hint="eastAsia" w:ascii="宋体" w:hAnsi="宋体" w:cs="宋体"/>
                <w:kern w:val="0"/>
                <w:sz w:val="24"/>
                <w:highlight w:val="none"/>
                <w:lang w:val="en-US" w:eastAsia="zh-CN" w:bidi="ar"/>
              </w:rPr>
              <w:t>6</w:t>
            </w:r>
            <w:r>
              <w:rPr>
                <w:rFonts w:hint="eastAsia" w:ascii="宋体" w:hAnsi="宋体" w:cs="宋体"/>
                <w:kern w:val="0"/>
                <w:sz w:val="24"/>
                <w:highlight w:val="none"/>
                <w:lang w:bidi="ar"/>
              </w:rPr>
              <w:t>万元，帮助企业获取知识产权质押融资</w:t>
            </w:r>
            <w:r>
              <w:rPr>
                <w:rFonts w:hint="eastAsia" w:ascii="宋体" w:hAnsi="宋体" w:cs="宋体"/>
                <w:kern w:val="0"/>
                <w:sz w:val="24"/>
                <w:highlight w:val="none"/>
                <w:lang w:val="en-US" w:eastAsia="zh-CN" w:bidi="ar"/>
              </w:rPr>
              <w:t>5.43亿</w:t>
            </w:r>
            <w:r>
              <w:rPr>
                <w:rFonts w:hint="eastAsia" w:ascii="宋体" w:hAnsi="宋体" w:cs="宋体"/>
                <w:kern w:val="0"/>
                <w:sz w:val="24"/>
                <w:highlight w:val="none"/>
                <w:lang w:bidi="ar"/>
              </w:rPr>
              <w:t>元；已帮助企业申报获取地理标志1个；通过培训宣传，提升全民知识产权意识，营造良好建设氛围，促进知识产权运用，通过强化知识产权保护，区域知识产权协调发展；社会公众对加强知识产权保护的支持率达到90%，商标注册企业的满意度达到</w:t>
            </w:r>
            <w:r>
              <w:rPr>
                <w:rFonts w:hint="eastAsia" w:ascii="宋体" w:hAnsi="宋体" w:cs="宋体"/>
                <w:kern w:val="0"/>
                <w:sz w:val="24"/>
                <w:highlight w:val="none"/>
                <w:lang w:val="en-US" w:eastAsia="zh-CN" w:bidi="ar"/>
              </w:rPr>
              <w:t>100</w:t>
            </w:r>
            <w:r>
              <w:rPr>
                <w:rFonts w:hint="eastAsia" w:ascii="宋体" w:hAnsi="宋体" w:cs="宋体"/>
                <w:kern w:val="0"/>
                <w:sz w:val="24"/>
                <w:highlight w:val="none"/>
                <w:lang w:bidi="ar"/>
              </w:rPr>
              <w:t>%，知识产权资助权利人满意度达到</w:t>
            </w:r>
            <w:r>
              <w:rPr>
                <w:rFonts w:hint="eastAsia" w:ascii="宋体" w:hAnsi="宋体" w:cs="宋体"/>
                <w:kern w:val="0"/>
                <w:sz w:val="24"/>
                <w:highlight w:val="none"/>
                <w:lang w:val="en-US" w:eastAsia="zh-CN" w:bidi="ar"/>
              </w:rPr>
              <w:t>100</w:t>
            </w:r>
            <w:r>
              <w:rPr>
                <w:rFonts w:hint="eastAsia" w:ascii="宋体" w:hAnsi="宋体" w:cs="宋体"/>
                <w:kern w:val="0"/>
                <w:sz w:val="24"/>
                <w:highlight w:val="none"/>
                <w:lang w:bidi="ar"/>
              </w:rPr>
              <w:t>%。</w:t>
            </w:r>
          </w:p>
          <w:p>
            <w:pPr>
              <w:pStyle w:val="5"/>
              <w:ind w:firstLine="481" w:firstLineChars="200"/>
              <w:rPr>
                <w:rFonts w:hint="eastAsia" w:ascii="宋体" w:hAnsi="宋体" w:cs="宋体"/>
                <w:sz w:val="24"/>
                <w:szCs w:val="24"/>
                <w:highlight w:val="none"/>
              </w:rPr>
            </w:pPr>
            <w:r>
              <w:rPr>
                <w:rFonts w:hint="eastAsia" w:ascii="宋体" w:hAnsi="宋体" w:cs="宋体"/>
                <w:b/>
                <w:bCs/>
                <w:kern w:val="0"/>
                <w:sz w:val="24"/>
                <w:szCs w:val="24"/>
                <w:highlight w:val="none"/>
                <w:lang w:val="en-US" w:eastAsia="zh-CN" w:bidi="ar"/>
              </w:rPr>
              <w:t>18</w:t>
            </w:r>
            <w:r>
              <w:rPr>
                <w:rFonts w:hint="eastAsia" w:ascii="宋体" w:hAnsi="宋体" w:cs="宋体"/>
                <w:b/>
                <w:bCs/>
                <w:kern w:val="0"/>
                <w:sz w:val="24"/>
                <w:szCs w:val="24"/>
                <w:highlight w:val="none"/>
                <w:lang w:bidi="ar"/>
              </w:rPr>
              <w:t>、消费维权：</w:t>
            </w:r>
            <w:r>
              <w:rPr>
                <w:rFonts w:hint="eastAsia" w:ascii="宋体" w:hAnsi="宋体" w:cs="宋体"/>
                <w:kern w:val="0"/>
                <w:sz w:val="24"/>
                <w:szCs w:val="24"/>
                <w:highlight w:val="none"/>
                <w:lang w:bidi="ar"/>
              </w:rPr>
              <w:t>完善市本级消费维权服务站建设</w:t>
            </w:r>
            <w:r>
              <w:rPr>
                <w:rFonts w:hint="eastAsia" w:ascii="宋体" w:hAnsi="宋体" w:cs="宋体"/>
                <w:kern w:val="0"/>
                <w:sz w:val="24"/>
                <w:szCs w:val="24"/>
                <w:highlight w:val="none"/>
                <w:lang w:val="en-US" w:eastAsia="zh-CN" w:bidi="ar"/>
              </w:rPr>
              <w:t>30</w:t>
            </w:r>
            <w:r>
              <w:rPr>
                <w:rFonts w:hint="eastAsia" w:ascii="宋体" w:hAnsi="宋体" w:cs="宋体"/>
                <w:kern w:val="0"/>
                <w:sz w:val="24"/>
                <w:szCs w:val="24"/>
                <w:highlight w:val="none"/>
                <w:lang w:bidi="ar"/>
              </w:rPr>
              <w:t>家；投诉按时初查率99.5%，投诉按时办结率99.8%，举报按时核查率98.97%，举报奖金发放率100%，投诉在法定时限内办结并反馈；营造了安全放心的消费环境，提升了消费维权业务能力</w:t>
            </w:r>
            <w:r>
              <w:rPr>
                <w:rFonts w:hint="eastAsia" w:ascii="宋体" w:hAnsi="宋体" w:cs="宋体"/>
                <w:sz w:val="24"/>
                <w:szCs w:val="24"/>
                <w:highlight w:val="none"/>
              </w:rPr>
              <w:t>。</w:t>
            </w:r>
          </w:p>
          <w:p>
            <w:pPr>
              <w:pStyle w:val="5"/>
              <w:ind w:firstLine="481" w:firstLineChars="200"/>
              <w:rPr>
                <w:rFonts w:hint="eastAsia" w:ascii="仿宋" w:hAnsi="仿宋" w:eastAsia="仿宋" w:cs="仿宋"/>
                <w:sz w:val="32"/>
                <w:szCs w:val="32"/>
                <w:highlight w:val="lightGray"/>
              </w:rPr>
            </w:pPr>
            <w:r>
              <w:rPr>
                <w:rFonts w:hint="eastAsia" w:ascii="宋体" w:hAnsi="宋体" w:cs="宋体"/>
                <w:b/>
                <w:bCs/>
                <w:sz w:val="24"/>
                <w:szCs w:val="24"/>
                <w:highlight w:val="none"/>
                <w:lang w:val="en-US" w:eastAsia="zh-CN"/>
              </w:rPr>
              <w:t>19</w:t>
            </w:r>
            <w:r>
              <w:rPr>
                <w:rFonts w:hint="eastAsia" w:ascii="宋体" w:hAnsi="宋体" w:cs="宋体"/>
                <w:b/>
                <w:bCs/>
                <w:sz w:val="24"/>
                <w:szCs w:val="24"/>
                <w:highlight w:val="none"/>
              </w:rPr>
              <w:t>、其他任务：</w:t>
            </w:r>
            <w:r>
              <w:rPr>
                <w:rFonts w:hint="eastAsia" w:ascii="宋体" w:hAnsi="宋体" w:cs="宋体"/>
                <w:sz w:val="24"/>
                <w:szCs w:val="24"/>
                <w:highlight w:val="none"/>
              </w:rPr>
              <w:t>9月召开非公党建重点宣传会议1次，市级媒体及网站发表非公党建重点宣传报道3次，非公经济组织和相关社会组织党支部“五化建设”、社会组织功能型党支部规范化建设达标率85%，县市区非公党建组建完成率100%；非公党建费用支出</w:t>
            </w:r>
            <w:r>
              <w:rPr>
                <w:rFonts w:hint="eastAsia" w:ascii="宋体" w:hAnsi="宋体" w:cs="宋体"/>
                <w:sz w:val="24"/>
                <w:szCs w:val="24"/>
                <w:highlight w:val="none"/>
                <w:lang w:val="en-US" w:eastAsia="zh-CN"/>
              </w:rPr>
              <w:t>14.9</w:t>
            </w:r>
            <w:r>
              <w:rPr>
                <w:rFonts w:hint="eastAsia" w:ascii="宋体" w:hAnsi="宋体" w:cs="宋体"/>
                <w:sz w:val="24"/>
                <w:szCs w:val="24"/>
                <w:highlight w:val="none"/>
              </w:rPr>
              <w:t>万元；非公经济组织和相关社会组织党组织积极主动作为，承担社会责任，对非公党建工作的满意度达到92%</w:t>
            </w:r>
            <w:r>
              <w:rPr>
                <w:rFonts w:hint="eastAsia" w:ascii="宋体" w:hAnsi="宋体" w:cs="宋体"/>
                <w:kern w:val="0"/>
                <w:sz w:val="24"/>
                <w:szCs w:val="24"/>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384" w:type="dxa"/>
            <w:vMerge w:val="restart"/>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存在的问题分析及改进措施</w:t>
            </w:r>
          </w:p>
        </w:tc>
        <w:tc>
          <w:tcPr>
            <w:tcW w:w="2372" w:type="dxa"/>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存在的问题</w:t>
            </w:r>
          </w:p>
        </w:tc>
        <w:tc>
          <w:tcPr>
            <w:tcW w:w="5670" w:type="dxa"/>
            <w:noWrap w:val="0"/>
            <w:vAlign w:val="center"/>
          </w:tcPr>
          <w:p>
            <w:pPr>
              <w:widowControl/>
              <w:ind w:firstLine="480" w:firstLineChars="200"/>
              <w:jc w:val="left"/>
              <w:textAlignment w:val="center"/>
              <w:rPr>
                <w:rFonts w:hint="eastAsia" w:ascii="宋体" w:hAnsi="宋体" w:cs="宋体"/>
                <w:b w:val="0"/>
                <w:bCs w:val="0"/>
                <w:kern w:val="0"/>
                <w:sz w:val="24"/>
                <w:highlight w:val="none"/>
                <w:lang w:bidi="ar"/>
              </w:rPr>
            </w:pPr>
            <w:r>
              <w:rPr>
                <w:rFonts w:hint="eastAsia" w:ascii="宋体" w:hAnsi="宋体" w:cs="宋体"/>
                <w:b w:val="0"/>
                <w:bCs w:val="0"/>
                <w:kern w:val="0"/>
                <w:sz w:val="24"/>
                <w:highlight w:val="none"/>
                <w:lang w:bidi="ar"/>
              </w:rPr>
              <w:t>因疫情影响，年前设置的部分绩效目标完成情况出现偏差：</w:t>
            </w:r>
          </w:p>
          <w:p>
            <w:pPr>
              <w:widowControl/>
              <w:ind w:firstLine="480" w:firstLineChars="200"/>
              <w:jc w:val="left"/>
              <w:textAlignment w:val="center"/>
              <w:rPr>
                <w:rFonts w:hint="eastAsia" w:ascii="宋体" w:hAnsi="宋体" w:cs="宋体"/>
                <w:b w:val="0"/>
                <w:bCs w:val="0"/>
                <w:kern w:val="0"/>
                <w:sz w:val="24"/>
                <w:highlight w:val="none"/>
                <w:lang w:bidi="ar"/>
              </w:rPr>
            </w:pPr>
            <w:r>
              <w:rPr>
                <w:rFonts w:hint="eastAsia" w:ascii="宋体" w:hAnsi="宋体" w:cs="宋体"/>
                <w:b w:val="0"/>
                <w:bCs w:val="0"/>
                <w:kern w:val="0"/>
                <w:sz w:val="24"/>
                <w:highlight w:val="none"/>
                <w:lang w:bidi="ar"/>
              </w:rPr>
              <w:t>1、未在时效期限内完成。比如①年初制定出台应急预案2个，在2022年9月前完成，实际情况：9月前出台应急预案1个，另一个应急预案于2022年12月完成。②年初制定组织开展针对重点地区、重点人群和重点环节的打击传销宣传教育于2022年11月30日前完成3次，实际11月前完成2次，12月组织完成1次。③年初制定2022年12月前完成机关内部规范管理标准体系研究及推广项目1个并构建及标准编制，预算不超过20万元，截止12月项目目前正在签订合同中，费用尚未产生。</w:t>
            </w:r>
          </w:p>
          <w:p>
            <w:pPr>
              <w:widowControl/>
              <w:ind w:firstLine="480" w:firstLineChars="200"/>
              <w:jc w:val="left"/>
              <w:textAlignment w:val="center"/>
              <w:rPr>
                <w:rFonts w:hint="eastAsia" w:ascii="宋体" w:hAnsi="宋体" w:cs="宋体"/>
                <w:b w:val="0"/>
                <w:bCs w:val="0"/>
                <w:kern w:val="0"/>
                <w:sz w:val="24"/>
                <w:highlight w:val="none"/>
                <w:lang w:bidi="ar"/>
              </w:rPr>
            </w:pPr>
            <w:r>
              <w:rPr>
                <w:rFonts w:hint="eastAsia" w:ascii="宋体" w:hAnsi="宋体" w:cs="宋体"/>
                <w:b w:val="0"/>
                <w:bCs w:val="0"/>
                <w:kern w:val="0"/>
                <w:sz w:val="24"/>
                <w:highlight w:val="none"/>
                <w:lang w:bidi="ar"/>
              </w:rPr>
              <w:t>2、年初目标制定不科学。①目标制定太小，比如新设市场主体数≥30000户，实际完成59635户。帮助企业获取知识产权质押融资3000万，实际融资5.43亿元。②目标制定太大。知识产权运用培训支出21万元，因疫情影响，未组织有规模的线下培训，实际费用为0.2万元。</w:t>
            </w:r>
          </w:p>
          <w:p>
            <w:pPr>
              <w:widowControl/>
              <w:ind w:firstLine="480" w:firstLineChars="200"/>
              <w:jc w:val="left"/>
              <w:textAlignment w:val="center"/>
              <w:rPr>
                <w:rFonts w:hint="eastAsia" w:ascii="宋体" w:hAnsi="宋体" w:cs="宋体"/>
                <w:b w:val="0"/>
                <w:bCs w:val="0"/>
                <w:kern w:val="0"/>
                <w:sz w:val="24"/>
                <w:highlight w:val="none"/>
                <w:lang w:bidi="ar"/>
              </w:rPr>
            </w:pPr>
            <w:r>
              <w:rPr>
                <w:rFonts w:hint="eastAsia" w:ascii="宋体" w:hAnsi="宋体" w:cs="宋体"/>
                <w:b w:val="0"/>
                <w:bCs w:val="0"/>
                <w:kern w:val="0"/>
                <w:sz w:val="24"/>
                <w:highlight w:val="none"/>
                <w:lang w:bidi="ar"/>
              </w:rPr>
              <w:t>3、因为工作调整，年初制定的绩效目标已无法开展，但未及时调整绩效目标。比如说特种设备购买技术服务以及特种设备许可审查费用，因为省局工作的调整，今年市州已无需开展，因未能及时调整绩效目标，致使这项绩效目标未能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noWrap w:val="0"/>
            <w:vAlign w:val="top"/>
          </w:tcPr>
          <w:p>
            <w:pPr>
              <w:rPr>
                <w:rFonts w:hint="eastAsia" w:ascii="仿宋" w:hAnsi="仿宋" w:eastAsia="仿宋" w:cs="仿宋"/>
                <w:sz w:val="32"/>
                <w:szCs w:val="32"/>
              </w:rPr>
            </w:pPr>
          </w:p>
        </w:tc>
        <w:tc>
          <w:tcPr>
            <w:tcW w:w="2372" w:type="dxa"/>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改进措施</w:t>
            </w:r>
          </w:p>
        </w:tc>
        <w:tc>
          <w:tcPr>
            <w:tcW w:w="5670" w:type="dxa"/>
            <w:noWrap w:val="0"/>
            <w:vAlign w:val="center"/>
          </w:tcPr>
          <w:p>
            <w:pPr>
              <w:widowControl/>
              <w:ind w:firstLine="480" w:firstLineChars="200"/>
              <w:jc w:val="left"/>
              <w:textAlignment w:val="center"/>
              <w:rPr>
                <w:rFonts w:hint="eastAsia" w:ascii="宋体" w:hAnsi="宋体" w:cs="宋体"/>
                <w:b w:val="0"/>
                <w:bCs w:val="0"/>
                <w:kern w:val="0"/>
                <w:sz w:val="24"/>
                <w:highlight w:val="none"/>
                <w:lang w:bidi="ar"/>
              </w:rPr>
            </w:pPr>
            <w:r>
              <w:rPr>
                <w:rFonts w:hint="eastAsia" w:ascii="宋体" w:hAnsi="宋体" w:cs="宋体"/>
                <w:b w:val="0"/>
                <w:bCs w:val="0"/>
                <w:kern w:val="0"/>
                <w:sz w:val="24"/>
                <w:highlight w:val="none"/>
                <w:lang w:bidi="ar"/>
              </w:rPr>
              <w:t xml:space="preserve">根据实际工作开展情况，对绩效目标完成情况出现偏差的进行整改，具体如下：     </w:t>
            </w:r>
          </w:p>
          <w:p>
            <w:pPr>
              <w:widowControl/>
              <w:ind w:firstLine="480" w:firstLineChars="200"/>
              <w:jc w:val="left"/>
              <w:textAlignment w:val="center"/>
              <w:rPr>
                <w:rFonts w:hint="eastAsia" w:ascii="宋体" w:hAnsi="宋体" w:cs="宋体"/>
                <w:b w:val="0"/>
                <w:bCs w:val="0"/>
                <w:kern w:val="0"/>
                <w:sz w:val="24"/>
                <w:highlight w:val="none"/>
                <w:lang w:bidi="ar"/>
              </w:rPr>
            </w:pPr>
            <w:r>
              <w:rPr>
                <w:rFonts w:hint="eastAsia" w:ascii="宋体" w:hAnsi="宋体" w:cs="宋体"/>
                <w:b w:val="0"/>
                <w:bCs w:val="0"/>
                <w:kern w:val="0"/>
                <w:sz w:val="24"/>
                <w:highlight w:val="none"/>
                <w:lang w:bidi="ar"/>
              </w:rPr>
              <w:t>1、加强绩效</w:t>
            </w:r>
            <w:r>
              <w:rPr>
                <w:rFonts w:hint="eastAsia" w:ascii="宋体" w:hAnsi="宋体" w:cs="宋体"/>
                <w:b w:val="0"/>
                <w:bCs w:val="0"/>
                <w:kern w:val="0"/>
                <w:sz w:val="24"/>
                <w:highlight w:val="none"/>
                <w:lang w:eastAsia="zh-CN" w:bidi="ar"/>
              </w:rPr>
              <w:t>目标</w:t>
            </w:r>
            <w:r>
              <w:rPr>
                <w:rFonts w:hint="eastAsia" w:ascii="宋体" w:hAnsi="宋体" w:cs="宋体"/>
                <w:b w:val="0"/>
                <w:bCs w:val="0"/>
                <w:kern w:val="0"/>
                <w:sz w:val="24"/>
                <w:highlight w:val="none"/>
                <w:lang w:bidi="ar"/>
              </w:rPr>
              <w:t>监控的把控，在监控过程中发现绩效目标执行明显滞后的及时采取有效措施，保证在时效内及时完成绩效目标。</w:t>
            </w:r>
          </w:p>
          <w:p>
            <w:pPr>
              <w:widowControl/>
              <w:ind w:firstLine="480" w:firstLineChars="200"/>
              <w:jc w:val="left"/>
              <w:textAlignment w:val="center"/>
              <w:rPr>
                <w:rFonts w:hint="eastAsia" w:ascii="宋体" w:hAnsi="宋体" w:cs="宋体"/>
                <w:b w:val="0"/>
                <w:bCs w:val="0"/>
                <w:kern w:val="0"/>
                <w:sz w:val="24"/>
                <w:highlight w:val="none"/>
                <w:lang w:bidi="ar"/>
              </w:rPr>
            </w:pPr>
            <w:r>
              <w:rPr>
                <w:rFonts w:hint="eastAsia" w:ascii="宋体" w:hAnsi="宋体" w:cs="宋体"/>
                <w:b w:val="0"/>
                <w:bCs w:val="0"/>
                <w:kern w:val="0"/>
                <w:sz w:val="24"/>
                <w:highlight w:val="none"/>
                <w:lang w:bidi="ar"/>
              </w:rPr>
              <w:t>2、加强绩效目标制定的科学性，结合考核指标以及实际情况，合理的制定绩效目标。</w:t>
            </w:r>
          </w:p>
          <w:p>
            <w:pPr>
              <w:widowControl/>
              <w:ind w:firstLine="480" w:firstLineChars="200"/>
              <w:jc w:val="left"/>
              <w:textAlignment w:val="center"/>
              <w:rPr>
                <w:rFonts w:hint="eastAsia" w:ascii="宋体" w:hAnsi="宋体" w:cs="宋体"/>
                <w:b w:val="0"/>
                <w:bCs w:val="0"/>
                <w:kern w:val="0"/>
                <w:sz w:val="24"/>
                <w:highlight w:val="none"/>
                <w:lang w:bidi="ar"/>
              </w:rPr>
            </w:pPr>
            <w:r>
              <w:rPr>
                <w:rFonts w:hint="eastAsia" w:ascii="宋体" w:hAnsi="宋体" w:cs="宋体"/>
                <w:b w:val="0"/>
                <w:bCs w:val="0"/>
                <w:kern w:val="0"/>
                <w:sz w:val="24"/>
                <w:highlight w:val="none"/>
                <w:lang w:bidi="ar"/>
              </w:rPr>
              <w:t>3、在进行绩效目标的跟踪监控过程中，如果遇</w:t>
            </w:r>
            <w:r>
              <w:rPr>
                <w:rFonts w:hint="eastAsia" w:ascii="宋体" w:hAnsi="宋体" w:cs="宋体"/>
                <w:b w:val="0"/>
                <w:bCs w:val="0"/>
                <w:kern w:val="0"/>
                <w:sz w:val="24"/>
                <w:highlight w:val="none"/>
                <w:lang w:eastAsia="zh-CN" w:bidi="ar"/>
              </w:rPr>
              <w:t>到</w:t>
            </w:r>
            <w:r>
              <w:rPr>
                <w:rFonts w:hint="eastAsia" w:ascii="宋体" w:hAnsi="宋体" w:cs="宋体"/>
                <w:b w:val="0"/>
                <w:bCs w:val="0"/>
                <w:kern w:val="0"/>
                <w:sz w:val="24"/>
                <w:highlight w:val="none"/>
                <w:lang w:bidi="ar"/>
              </w:rPr>
              <w:t>工作的变动及政策的变化，致使绩效目标无法完成的，要及时调整。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noWrap w:val="0"/>
            <w:vAlign w:val="top"/>
          </w:tcPr>
          <w:p>
            <w:pPr>
              <w:rPr>
                <w:rFonts w:hint="eastAsia" w:ascii="仿宋" w:hAnsi="仿宋" w:eastAsia="仿宋" w:cs="仿宋"/>
                <w:sz w:val="32"/>
                <w:szCs w:val="32"/>
              </w:rPr>
            </w:pPr>
          </w:p>
        </w:tc>
        <w:tc>
          <w:tcPr>
            <w:tcW w:w="2372" w:type="dxa"/>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其他需要说明问题</w:t>
            </w:r>
          </w:p>
        </w:tc>
        <w:tc>
          <w:tcPr>
            <w:tcW w:w="5670" w:type="dxa"/>
            <w:noWrap w:val="0"/>
            <w:vAlign w:val="center"/>
          </w:tcPr>
          <w:p>
            <w:pPr>
              <w:spacing w:line="576" w:lineRule="exact"/>
              <w:ind w:right="880" w:rightChars="419"/>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无</w:t>
            </w:r>
          </w:p>
        </w:tc>
      </w:tr>
    </w:tbl>
    <w:p>
      <w:r>
        <w:rPr>
          <w:rFonts w:hint="eastAsia" w:ascii="宋体" w:cs="宋体"/>
          <w:bCs/>
          <w:szCs w:val="32"/>
        </w:rPr>
        <w:br w:type="page"/>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7AA1DF"/>
    <w:rsid w:val="3EAB0813"/>
    <w:rsid w:val="5EFA4E26"/>
    <w:rsid w:val="7CDBA39C"/>
    <w:rsid w:val="7F7185AA"/>
    <w:rsid w:val="9BDB9CAF"/>
    <w:rsid w:val="9DF70DC8"/>
    <w:rsid w:val="9FFD2317"/>
    <w:rsid w:val="AFAF30A1"/>
    <w:rsid w:val="B3AFD0CE"/>
    <w:rsid w:val="BFFD66EC"/>
    <w:rsid w:val="DBB7BD63"/>
    <w:rsid w:val="E5F55710"/>
    <w:rsid w:val="F37C415A"/>
    <w:rsid w:val="F7BEAC0F"/>
    <w:rsid w:val="F7FF1A99"/>
    <w:rsid w:val="FE7FBC55"/>
    <w:rsid w:val="FF3B68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customStyle="1" w:styleId="2">
    <w:name w:val="BodyText1I"/>
    <w:basedOn w:val="1"/>
    <w:qFormat/>
    <w:uiPriority w:val="99"/>
    <w:pPr>
      <w:snapToGrid w:val="0"/>
      <w:spacing w:line="360" w:lineRule="auto"/>
      <w:ind w:firstLine="420" w:firstLineChars="100"/>
    </w:pPr>
    <w:rPr>
      <w:sz w:val="28"/>
      <w:szCs w:val="20"/>
    </w:rPr>
  </w:style>
  <w:style w:type="paragraph" w:styleId="3">
    <w:name w:val="Normal Indent"/>
    <w:basedOn w:val="1"/>
    <w:next w:val="4"/>
    <w:unhideWhenUsed/>
    <w:qFormat/>
    <w:uiPriority w:val="99"/>
    <w:pPr>
      <w:ind w:firstLine="420" w:firstLineChars="200"/>
    </w:pPr>
  </w:style>
  <w:style w:type="paragraph" w:styleId="4">
    <w:name w:val="header"/>
    <w:basedOn w:val="1"/>
    <w:qFormat/>
    <w:uiPriority w:val="0"/>
    <w:pPr>
      <w:pBdr>
        <w:top w:val="none" w:color="auto" w:sz="0" w:space="1"/>
        <w:left w:val="none" w:color="auto" w:sz="0" w:space="4"/>
        <w:bottom w:val="none" w:color="auto" w:sz="0" w:space="1"/>
        <w:right w:val="none" w:color="auto" w:sz="0" w:space="4"/>
      </w:pBdr>
      <w:snapToGrid w:val="0"/>
    </w:pPr>
    <w:rPr>
      <w:sz w:val="18"/>
    </w:rPr>
  </w:style>
  <w:style w:type="paragraph" w:styleId="5">
    <w:name w:val="footer"/>
    <w:basedOn w:val="1"/>
    <w:next w:val="6"/>
    <w:qFormat/>
    <w:uiPriority w:val="99"/>
    <w:pPr>
      <w:tabs>
        <w:tab w:val="center" w:pos="4153"/>
        <w:tab w:val="right" w:pos="8306"/>
      </w:tabs>
      <w:snapToGrid w:val="0"/>
      <w:jc w:val="left"/>
    </w:pPr>
    <w:rPr>
      <w:sz w:val="18"/>
      <w:szCs w:val="18"/>
    </w:rPr>
  </w:style>
  <w:style w:type="paragraph" w:customStyle="1" w:styleId="6">
    <w:name w:val="UserStyle_2"/>
    <w:basedOn w:val="1"/>
    <w:next w:val="1"/>
    <w:qFormat/>
    <w:uiPriority w:val="0"/>
    <w:pPr>
      <w:spacing w:line="240" w:lineRule="auto"/>
      <w:ind w:left="1680"/>
      <w:jc w:val="both"/>
    </w:pPr>
    <w:rPr>
      <w:rFonts w:ascii="Calibri" w:hAnsi="Calibri" w:eastAsia="宋体"/>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23.6666666666667</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2014-10-31T04:08:00Z</dcterms:created>
  <dc:creator>Administrator</dc:creator>
  <cp:lastModifiedBy>user</cp:lastModifiedBy>
  <dcterms:modified xsi:type="dcterms:W3CDTF">2023-09-01T10:55:11Z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