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6" w:lineRule="exact"/>
        <w:ind w:firstLine="1980" w:firstLineChars="45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湘潭市食品药品检验所</w:t>
      </w:r>
    </w:p>
    <w:p>
      <w:pPr>
        <w:spacing w:line="576"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部门整体支出绩效评价报告</w:t>
      </w:r>
    </w:p>
    <w:p>
      <w:pPr>
        <w:widowControl/>
        <w:jc w:val="left"/>
      </w:pPr>
    </w:p>
    <w:tbl>
      <w:tblPr>
        <w:tblStyle w:val="6"/>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6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088" w:type="dxa"/>
            <w:vAlign w:val="center"/>
          </w:tcPr>
          <w:p>
            <w:pPr>
              <w:spacing w:line="576" w:lineRule="exact"/>
              <w:jc w:val="center"/>
              <w:rPr>
                <w:rFonts w:ascii="方正仿宋简体" w:hAnsi="方正小标宋简体" w:eastAsia="方正仿宋简体" w:cs="方正小标宋简体"/>
                <w:sz w:val="24"/>
              </w:rPr>
            </w:pPr>
            <w:r>
              <w:rPr>
                <w:rFonts w:hint="eastAsia" w:ascii="方正仿宋简体" w:hAnsi="方正小标宋简体" w:eastAsia="方正仿宋简体" w:cs="方正小标宋简体"/>
                <w:sz w:val="24"/>
              </w:rPr>
              <w:t>单位名称</w:t>
            </w:r>
          </w:p>
        </w:tc>
        <w:tc>
          <w:tcPr>
            <w:tcW w:w="6840" w:type="dxa"/>
            <w:vAlign w:val="center"/>
          </w:tcPr>
          <w:p>
            <w:pPr>
              <w:spacing w:line="576" w:lineRule="exact"/>
              <w:jc w:val="center"/>
              <w:rPr>
                <w:rFonts w:ascii="方正小标宋简体" w:hAnsi="方正小标宋简体" w:eastAsia="方正小标宋简体" w:cs="方正小标宋简体"/>
                <w:sz w:val="24"/>
              </w:rPr>
            </w:pPr>
            <w:r>
              <w:rPr>
                <w:rFonts w:hint="eastAsia" w:ascii="方正小标宋简体" w:hAnsi="方正小标宋简体" w:eastAsia="方正小标宋简体" w:cs="方正小标宋简体"/>
                <w:sz w:val="24"/>
              </w:rPr>
              <w:t>湘潭市食品药品检验所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088" w:type="dxa"/>
            <w:vAlign w:val="center"/>
          </w:tcPr>
          <w:p>
            <w:pPr>
              <w:spacing w:line="576" w:lineRule="exact"/>
              <w:jc w:val="center"/>
              <w:rPr>
                <w:rFonts w:ascii="方正仿宋简体" w:hAnsi="方正小标宋简体" w:eastAsia="方正仿宋简体" w:cs="方正小标宋简体"/>
                <w:sz w:val="24"/>
              </w:rPr>
            </w:pPr>
            <w:r>
              <w:rPr>
                <w:rFonts w:hint="eastAsia" w:ascii="方正仿宋简体" w:hAnsi="方正小标宋简体" w:eastAsia="方正仿宋简体" w:cs="方正小标宋简体"/>
                <w:sz w:val="24"/>
              </w:rPr>
              <w:t>年度预算金额</w:t>
            </w:r>
          </w:p>
        </w:tc>
        <w:tc>
          <w:tcPr>
            <w:tcW w:w="6840" w:type="dxa"/>
            <w:vAlign w:val="center"/>
          </w:tcPr>
          <w:p>
            <w:pPr>
              <w:spacing w:line="576" w:lineRule="exact"/>
              <w:jc w:val="center"/>
              <w:rPr>
                <w:rFonts w:ascii="方正小标宋简体" w:hAnsi="方正小标宋简体" w:eastAsia="方正小标宋简体" w:cs="方正小标宋简体"/>
                <w:sz w:val="24"/>
              </w:rPr>
            </w:pPr>
            <w:r>
              <w:rPr>
                <w:rFonts w:hint="eastAsia" w:ascii="方正小标宋简体" w:hAnsi="方正小标宋简体" w:eastAsia="方正小标宋简体" w:cs="方正小标宋简体"/>
                <w:sz w:val="24"/>
              </w:rPr>
              <w:t>866.13万元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088" w:type="dxa"/>
            <w:vAlign w:val="center"/>
          </w:tcPr>
          <w:p>
            <w:pPr>
              <w:spacing w:line="576" w:lineRule="exact"/>
              <w:jc w:val="center"/>
              <w:rPr>
                <w:rFonts w:ascii="方正仿宋简体" w:hAnsi="方正小标宋简体" w:eastAsia="方正仿宋简体" w:cs="方正小标宋简体"/>
                <w:sz w:val="24"/>
              </w:rPr>
            </w:pPr>
            <w:r>
              <w:rPr>
                <w:rFonts w:hint="eastAsia" w:ascii="方正仿宋简体" w:hAnsi="方正小标宋简体" w:eastAsia="方正仿宋简体" w:cs="方正小标宋简体"/>
                <w:sz w:val="24"/>
              </w:rPr>
              <w:t>主管部门</w:t>
            </w:r>
          </w:p>
        </w:tc>
        <w:tc>
          <w:tcPr>
            <w:tcW w:w="6840" w:type="dxa"/>
            <w:vAlign w:val="center"/>
          </w:tcPr>
          <w:p>
            <w:pPr>
              <w:spacing w:line="576" w:lineRule="exact"/>
              <w:jc w:val="center"/>
              <w:rPr>
                <w:rFonts w:ascii="方正小标宋简体" w:hAnsi="方正小标宋简体" w:eastAsia="方正小标宋简体" w:cs="方正小标宋简体"/>
                <w:sz w:val="24"/>
              </w:rPr>
            </w:pPr>
            <w:r>
              <w:rPr>
                <w:rFonts w:hint="eastAsia" w:ascii="方正小标宋简体" w:hAnsi="方正小标宋简体" w:eastAsia="方正小标宋简体" w:cs="方正小标宋简体"/>
                <w:sz w:val="24"/>
              </w:rPr>
              <w:t>湘潭市市场监督管理局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088" w:type="dxa"/>
            <w:vAlign w:val="center"/>
          </w:tcPr>
          <w:p>
            <w:pPr>
              <w:spacing w:line="576" w:lineRule="exact"/>
              <w:jc w:val="center"/>
              <w:rPr>
                <w:rFonts w:ascii="方正仿宋简体" w:hAnsi="方正小标宋简体" w:eastAsia="方正仿宋简体" w:cs="方正小标宋简体"/>
                <w:sz w:val="24"/>
              </w:rPr>
            </w:pPr>
            <w:r>
              <w:rPr>
                <w:rFonts w:hint="eastAsia" w:ascii="方正仿宋简体" w:hAnsi="方正小标宋简体" w:eastAsia="方正仿宋简体" w:cs="方正小标宋简体"/>
                <w:sz w:val="24"/>
              </w:rPr>
              <w:t>单位基本职能</w:t>
            </w:r>
          </w:p>
        </w:tc>
        <w:tc>
          <w:tcPr>
            <w:tcW w:w="6840" w:type="dxa"/>
            <w:vAlign w:val="center"/>
          </w:tcPr>
          <w:p>
            <w:pPr>
              <w:pStyle w:val="5"/>
              <w:spacing w:before="0" w:beforeAutospacing="0" w:after="0" w:afterAutospacing="0"/>
              <w:jc w:val="both"/>
              <w:rPr>
                <w:rFonts w:hAnsi="Arial"/>
                <w:highlight w:val="white"/>
                <w:lang w:val="zh-CN"/>
              </w:rPr>
            </w:pPr>
            <w:r>
              <w:rPr>
                <w:rFonts w:hint="eastAsia" w:hAnsi="Arial"/>
                <w:highlight w:val="white"/>
                <w:lang w:val="zh-CN"/>
              </w:rPr>
              <w:t>1、负责全市生产、流通、餐饮环节食品和药品、医疗器械、药包材、保健食品、化妆品的抽查检验、复验和委托检验等工作。</w:t>
            </w:r>
          </w:p>
          <w:p>
            <w:pPr>
              <w:pStyle w:val="5"/>
              <w:spacing w:before="0" w:beforeAutospacing="0" w:after="0" w:afterAutospacing="0"/>
              <w:jc w:val="both"/>
              <w:rPr>
                <w:rFonts w:hAnsi="Arial"/>
                <w:highlight w:val="white"/>
                <w:lang w:val="zh-CN"/>
              </w:rPr>
            </w:pPr>
            <w:r>
              <w:rPr>
                <w:rFonts w:hint="eastAsia" w:hAnsi="Arial"/>
                <w:highlight w:val="white"/>
                <w:lang w:val="zh-CN"/>
              </w:rPr>
              <w:t>2、负责开展与食品药品检验检测业务相关的科研工作，做好全市食品药品检验检测部门的业务指导和培训工作，对食品药品生产企业、经营企业及医疗机构进行技术指导。</w:t>
            </w:r>
          </w:p>
          <w:p>
            <w:pPr>
              <w:pStyle w:val="5"/>
              <w:spacing w:before="0" w:beforeAutospacing="0" w:after="0" w:afterAutospacing="0"/>
              <w:jc w:val="both"/>
              <w:rPr>
                <w:rFonts w:hAnsi="Arial"/>
                <w:highlight w:val="white"/>
                <w:lang w:val="zh-CN"/>
              </w:rPr>
            </w:pPr>
            <w:r>
              <w:rPr>
                <w:rFonts w:hint="eastAsia" w:hAnsi="Arial"/>
                <w:highlight w:val="white"/>
                <w:lang w:val="zh-CN"/>
              </w:rPr>
              <w:t>3、负责综合上报和反馈生产、流通、餐饮环节食品品、医疗器械、药包材、保健食品、化妆品的质量信息。</w:t>
            </w:r>
          </w:p>
          <w:p>
            <w:pPr>
              <w:pStyle w:val="5"/>
              <w:spacing w:before="0" w:beforeAutospacing="0" w:after="0" w:afterAutospacing="0"/>
              <w:jc w:val="both"/>
              <w:rPr>
                <w:rFonts w:hAnsi="Arial"/>
                <w:highlight w:val="white"/>
                <w:lang w:val="zh-CN"/>
              </w:rPr>
            </w:pPr>
            <w:r>
              <w:rPr>
                <w:rFonts w:hint="eastAsia" w:hAnsi="Arial"/>
                <w:highlight w:val="white"/>
                <w:lang w:val="zh-CN"/>
              </w:rPr>
              <w:t>4、负责对有关单位的洁净生产场所、检验室进行空气洁净度测试。</w:t>
            </w:r>
          </w:p>
          <w:p>
            <w:pPr>
              <w:pStyle w:val="5"/>
              <w:spacing w:before="0" w:beforeAutospacing="0" w:after="0" w:afterAutospacing="0"/>
              <w:jc w:val="both"/>
              <w:rPr>
                <w:rFonts w:hAnsi="Arial"/>
                <w:highlight w:val="white"/>
                <w:lang w:val="zh-CN"/>
              </w:rPr>
            </w:pPr>
            <w:r>
              <w:rPr>
                <w:rFonts w:hint="eastAsia" w:hAnsi="Arial"/>
                <w:highlight w:val="white"/>
                <w:lang w:val="zh-CN"/>
              </w:rPr>
              <w:t>5、承办市食品药品监督管理主管部门和上级食品药品检验检测机构交办的其他事项。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088" w:type="dxa"/>
            <w:vAlign w:val="center"/>
          </w:tcPr>
          <w:p>
            <w:pPr>
              <w:spacing w:line="576" w:lineRule="exact"/>
              <w:jc w:val="center"/>
              <w:rPr>
                <w:rFonts w:ascii="方正仿宋简体" w:hAnsi="方正小标宋简体" w:eastAsia="方正仿宋简体" w:cs="方正小标宋简体"/>
                <w:sz w:val="24"/>
              </w:rPr>
            </w:pPr>
            <w:r>
              <w:rPr>
                <w:rFonts w:hint="eastAsia" w:ascii="方正仿宋简体" w:hAnsi="方正小标宋简体" w:eastAsia="方正仿宋简体" w:cs="方正小标宋简体"/>
                <w:sz w:val="24"/>
              </w:rPr>
              <w:t>评价结果</w:t>
            </w:r>
          </w:p>
        </w:tc>
        <w:tc>
          <w:tcPr>
            <w:tcW w:w="6840" w:type="dxa"/>
            <w:vAlign w:val="center"/>
          </w:tcPr>
          <w:p>
            <w:pPr>
              <w:pStyle w:val="5"/>
              <w:spacing w:before="0" w:beforeAutospacing="0" w:after="0" w:afterAutospacing="0"/>
              <w:jc w:val="center"/>
              <w:rPr>
                <w:rFonts w:hAnsi="Arial"/>
                <w:highlight w:val="white"/>
                <w:lang w:val="zh-CN"/>
              </w:rPr>
            </w:pPr>
            <w:r>
              <w:rPr>
                <w:rFonts w:hint="eastAsia" w:hAnsi="Arial"/>
                <w:highlight w:val="white"/>
                <w:lang w:val="zh-CN"/>
              </w:rPr>
              <w:t>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088" w:type="dxa"/>
            <w:vAlign w:val="center"/>
          </w:tcPr>
          <w:p>
            <w:pPr>
              <w:spacing w:line="576" w:lineRule="exact"/>
              <w:jc w:val="center"/>
              <w:rPr>
                <w:rFonts w:ascii="方正仿宋简体" w:hAnsi="方正小标宋简体" w:eastAsia="方正仿宋简体" w:cs="方正小标宋简体"/>
                <w:sz w:val="24"/>
              </w:rPr>
            </w:pPr>
            <w:r>
              <w:rPr>
                <w:rFonts w:hint="eastAsia" w:ascii="方正仿宋简体" w:hAnsi="方正小标宋简体" w:eastAsia="方正仿宋简体" w:cs="方正小标宋简体"/>
                <w:sz w:val="24"/>
              </w:rPr>
              <w:t>部门整体支出管理和使用基本情况</w:t>
            </w:r>
          </w:p>
        </w:tc>
        <w:tc>
          <w:tcPr>
            <w:tcW w:w="6840" w:type="dxa"/>
            <w:vAlign w:val="center"/>
          </w:tcPr>
          <w:p>
            <w:pPr>
              <w:pStyle w:val="5"/>
              <w:spacing w:before="0" w:beforeAutospacing="0" w:after="0" w:afterAutospacing="0"/>
              <w:jc w:val="both"/>
              <w:rPr>
                <w:rFonts w:hAnsi="Arial"/>
                <w:highlight w:val="white"/>
                <w:lang w:val="zh-CN"/>
              </w:rPr>
            </w:pPr>
            <w:r>
              <w:rPr>
                <w:rFonts w:hint="eastAsia" w:hAnsi="Arial"/>
                <w:highlight w:val="white"/>
                <w:lang w:val="zh-CN"/>
              </w:rPr>
              <w:t>一、预算情况</w:t>
            </w:r>
          </w:p>
          <w:p>
            <w:pPr>
              <w:pStyle w:val="5"/>
              <w:spacing w:before="0" w:beforeAutospacing="0" w:after="0" w:afterAutospacing="0"/>
              <w:jc w:val="both"/>
              <w:rPr>
                <w:rFonts w:hAnsi="Arial"/>
                <w:highlight w:val="white"/>
                <w:lang w:val="zh-CN"/>
              </w:rPr>
            </w:pPr>
            <w:r>
              <w:rPr>
                <w:rFonts w:hint="eastAsia" w:hAnsi="Arial"/>
                <w:highlight w:val="white"/>
                <w:lang w:val="zh-CN"/>
              </w:rPr>
              <w:t>1、年初预算情况</w:t>
            </w:r>
          </w:p>
          <w:p>
            <w:pPr>
              <w:pStyle w:val="5"/>
              <w:spacing w:before="0" w:beforeAutospacing="0" w:after="0" w:afterAutospacing="0"/>
              <w:jc w:val="both"/>
              <w:rPr>
                <w:rFonts w:hAnsi="Arial"/>
                <w:highlight w:val="white"/>
                <w:lang w:val="zh-CN"/>
              </w:rPr>
            </w:pPr>
            <w:r>
              <w:rPr>
                <w:rFonts w:hint="eastAsia" w:hAnsi="Arial"/>
                <w:highlight w:val="white"/>
                <w:lang w:val="zh-CN"/>
              </w:rPr>
              <w:t>（一）全年部门预算总收入866.13万元，其中一般公共预算财政拨款收入866.13万元。</w:t>
            </w:r>
          </w:p>
          <w:p>
            <w:pPr>
              <w:pStyle w:val="5"/>
              <w:spacing w:before="0" w:beforeAutospacing="0" w:after="0" w:afterAutospacing="0"/>
              <w:jc w:val="both"/>
              <w:rPr>
                <w:rFonts w:hAnsi="Arial"/>
                <w:highlight w:val="white"/>
                <w:lang w:val="zh-CN"/>
              </w:rPr>
            </w:pPr>
            <w:r>
              <w:rPr>
                <w:rFonts w:hint="eastAsia" w:hAnsi="Arial"/>
                <w:highlight w:val="white"/>
                <w:lang w:val="zh-CN"/>
              </w:rPr>
              <w:t>（二）预算基本支出582.45万元，其中，人员支出525.19万元，公用支出57.26万元。</w:t>
            </w:r>
          </w:p>
          <w:p>
            <w:pPr>
              <w:pStyle w:val="5"/>
              <w:spacing w:before="0" w:beforeAutospacing="0" w:after="0" w:afterAutospacing="0"/>
              <w:jc w:val="both"/>
              <w:rPr>
                <w:rFonts w:hAnsi="Arial"/>
                <w:highlight w:val="white"/>
                <w:lang w:val="zh-CN"/>
              </w:rPr>
            </w:pPr>
            <w:r>
              <w:rPr>
                <w:rFonts w:hint="eastAsia" w:hAnsi="Arial"/>
                <w:highlight w:val="white"/>
                <w:lang w:val="zh-CN"/>
              </w:rPr>
              <w:t>（三）预算专项支出283.68万元,来源为财政拨款为以下几个项目:①食品抽验经费33.77万元；②药品抽验经费34.3万元；③仪器设备检测维修经费15万元；④办公事业运行经费85万元；⑤劳务费65.61万元；⑥</w:t>
            </w:r>
            <w:r>
              <w:rPr>
                <w:rFonts w:hint="eastAsia"/>
                <w:highlight w:val="white"/>
                <w:lang w:val="zh-CN"/>
              </w:rPr>
              <w:t>药品委托检验费50万元</w:t>
            </w:r>
            <w:r>
              <w:rPr>
                <w:rFonts w:hint="eastAsia" w:hAnsi="Arial"/>
                <w:highlight w:val="white"/>
                <w:lang w:val="zh-CN"/>
              </w:rPr>
              <w:t>。</w:t>
            </w:r>
          </w:p>
          <w:p>
            <w:pPr>
              <w:pStyle w:val="5"/>
              <w:spacing w:before="0" w:beforeAutospacing="0" w:after="0" w:afterAutospacing="0"/>
              <w:jc w:val="both"/>
              <w:rPr>
                <w:rFonts w:hAnsi="Arial"/>
                <w:highlight w:val="white"/>
                <w:lang w:val="zh-CN"/>
              </w:rPr>
            </w:pPr>
            <w:r>
              <w:rPr>
                <w:rFonts w:hint="eastAsia" w:hAnsi="Arial"/>
                <w:highlight w:val="white"/>
                <w:lang w:val="zh-CN"/>
              </w:rPr>
              <w:t xml:space="preserve">3、全年总预算情况 </w:t>
            </w:r>
          </w:p>
          <w:p>
            <w:pPr>
              <w:pStyle w:val="5"/>
              <w:spacing w:before="0" w:beforeAutospacing="0" w:after="0" w:afterAutospacing="0"/>
              <w:jc w:val="both"/>
              <w:rPr>
                <w:rFonts w:hAnsi="Arial"/>
                <w:highlight w:val="white"/>
                <w:lang w:val="zh-CN"/>
              </w:rPr>
            </w:pPr>
            <w:r>
              <w:rPr>
                <w:rFonts w:hint="eastAsia" w:hAnsi="Arial"/>
                <w:highlight w:val="white"/>
                <w:lang w:val="zh-CN"/>
              </w:rPr>
              <w:t>1)、收入总计数为</w:t>
            </w:r>
            <w:r>
              <w:rPr>
                <w:rFonts w:hAnsi="Arial"/>
                <w:lang w:val="zh-CN"/>
              </w:rPr>
              <w:t>1,263.85</w:t>
            </w:r>
            <w:r>
              <w:rPr>
                <w:rFonts w:hint="eastAsia" w:hAnsi="Arial"/>
                <w:highlight w:val="white"/>
                <w:lang w:val="zh-CN"/>
              </w:rPr>
              <w:t>万元，其中：财政拨款1047.43万元，其他收入141.45万元，年初结转结余为7</w:t>
            </w:r>
            <w:r>
              <w:rPr>
                <w:rFonts w:hAnsi="Arial"/>
                <w:highlight w:val="white"/>
                <w:lang w:val="zh-CN"/>
              </w:rPr>
              <w:t>4.97</w:t>
            </w:r>
            <w:r>
              <w:rPr>
                <w:rFonts w:hint="eastAsia" w:hAnsi="Arial"/>
                <w:highlight w:val="white"/>
                <w:lang w:val="zh-CN"/>
              </w:rPr>
              <w:t>万元；</w:t>
            </w:r>
          </w:p>
          <w:p>
            <w:pPr>
              <w:pStyle w:val="5"/>
              <w:spacing w:before="0" w:beforeAutospacing="0" w:after="0" w:afterAutospacing="0"/>
              <w:jc w:val="both"/>
              <w:rPr>
                <w:rFonts w:hint="default" w:hAnsi="Arial" w:eastAsia="宋体"/>
                <w:highlight w:val="white"/>
                <w:lang w:val="en-US" w:eastAsia="zh-CN"/>
              </w:rPr>
            </w:pPr>
            <w:r>
              <w:rPr>
                <w:rFonts w:hint="eastAsia" w:hAnsi="Arial"/>
                <w:highlight w:val="white"/>
                <w:lang w:val="zh-CN"/>
              </w:rPr>
              <w:t>2)、支出预算总计数为</w:t>
            </w:r>
            <w:r>
              <w:rPr>
                <w:rFonts w:hAnsi="Arial"/>
                <w:highlight w:val="white"/>
                <w:lang w:val="zh-CN"/>
              </w:rPr>
              <w:t>1249.55</w:t>
            </w:r>
            <w:r>
              <w:rPr>
                <w:rFonts w:hint="eastAsia" w:hAnsi="Arial"/>
                <w:highlight w:val="white"/>
                <w:lang w:val="zh-CN"/>
              </w:rPr>
              <w:t>万元，其中：基本支出：</w:t>
            </w:r>
            <w:r>
              <w:rPr>
                <w:rFonts w:hAnsi="Arial"/>
                <w:highlight w:val="white"/>
                <w:lang w:val="zh-CN"/>
              </w:rPr>
              <w:t>812.04</w:t>
            </w:r>
            <w:r>
              <w:rPr>
                <w:rFonts w:hint="eastAsia" w:hAnsi="Arial"/>
                <w:highlight w:val="white"/>
                <w:lang w:val="zh-CN"/>
              </w:rPr>
              <w:t>万元，其中，人员支出</w:t>
            </w:r>
            <w:r>
              <w:rPr>
                <w:rFonts w:hAnsi="Arial"/>
                <w:lang w:val="zh-CN"/>
              </w:rPr>
              <w:t>669.53</w:t>
            </w:r>
            <w:r>
              <w:rPr>
                <w:rFonts w:hint="eastAsia" w:hAnsi="Arial"/>
                <w:highlight w:val="white"/>
                <w:lang w:val="zh-CN"/>
              </w:rPr>
              <w:t>万元，公用支出142.50万元。</w:t>
            </w:r>
            <w:r>
              <w:rPr>
                <w:rFonts w:hint="eastAsia" w:hAnsi="Arial"/>
                <w:highlight w:val="white"/>
                <w:lang w:val="en-US" w:eastAsia="zh-CN"/>
              </w:rPr>
              <w:t>项目支出437.51万元。</w:t>
            </w:r>
          </w:p>
          <w:p>
            <w:pPr>
              <w:widowControl/>
              <w:shd w:val="clear" w:color="auto" w:fill="FFFFFF"/>
              <w:snapToGrid w:val="0"/>
              <w:rPr>
                <w:rFonts w:ascii="宋体" w:hAnsi="Arial" w:cs="宋体"/>
                <w:kern w:val="0"/>
                <w:sz w:val="24"/>
                <w:highlight w:val="white"/>
                <w:lang w:val="zh-CN"/>
              </w:rPr>
            </w:pPr>
            <w:r>
              <w:rPr>
                <w:rFonts w:hint="eastAsia" w:ascii="宋体" w:hAnsi="Arial" w:cs="宋体"/>
                <w:kern w:val="0"/>
                <w:sz w:val="24"/>
                <w:highlight w:val="white"/>
                <w:lang w:val="zh-CN"/>
              </w:rPr>
              <w:t>二、预算支出情况</w:t>
            </w:r>
          </w:p>
          <w:p>
            <w:pPr>
              <w:rPr>
                <w:rFonts w:hint="eastAsia" w:ascii="宋体" w:hAnsi="Arial" w:cs="宋体"/>
                <w:kern w:val="0"/>
                <w:sz w:val="24"/>
                <w:highlight w:val="white"/>
                <w:lang w:val="zh-CN"/>
              </w:rPr>
            </w:pPr>
            <w:r>
              <w:rPr>
                <w:rFonts w:hint="eastAsia" w:ascii="宋体" w:hAnsi="Arial" w:cs="宋体"/>
                <w:kern w:val="0"/>
                <w:sz w:val="24"/>
                <w:highlight w:val="white"/>
                <w:lang w:val="zh-CN"/>
              </w:rPr>
              <w:t>1、基本支出执行情况</w:t>
            </w:r>
          </w:p>
          <w:p>
            <w:pPr>
              <w:rPr>
                <w:rFonts w:hint="default" w:ascii="宋体" w:hAnsi="Arial" w:eastAsia="宋体" w:cs="宋体"/>
                <w:kern w:val="0"/>
                <w:sz w:val="24"/>
                <w:highlight w:val="white"/>
                <w:lang w:val="en-US" w:eastAsia="zh-CN"/>
              </w:rPr>
            </w:pPr>
            <w:r>
              <w:rPr>
                <w:rFonts w:hint="eastAsia" w:ascii="宋体" w:hAnsi="Arial" w:cs="宋体"/>
                <w:kern w:val="0"/>
                <w:sz w:val="24"/>
                <w:highlight w:val="white"/>
                <w:lang w:val="en-US" w:eastAsia="zh-CN"/>
              </w:rPr>
              <w:t>本年支出合计1249.55万元。</w:t>
            </w:r>
          </w:p>
          <w:p>
            <w:pPr>
              <w:rPr>
                <w:rFonts w:ascii="宋体" w:hAnsi="Arial" w:cs="宋体"/>
                <w:kern w:val="0"/>
                <w:sz w:val="24"/>
                <w:highlight w:val="white"/>
                <w:lang w:val="zh-CN"/>
              </w:rPr>
            </w:pPr>
            <w:r>
              <w:rPr>
                <w:rFonts w:hint="eastAsia" w:ascii="宋体" w:hAnsi="Arial" w:cs="宋体"/>
                <w:kern w:val="0"/>
                <w:sz w:val="24"/>
                <w:highlight w:val="white"/>
                <w:lang w:val="zh-CN"/>
              </w:rPr>
              <w:t>基本支出：812.04万元，其中：人员支出669.53万元； 公用支出142.50万元。</w:t>
            </w:r>
          </w:p>
          <w:p>
            <w:pPr>
              <w:autoSpaceDE w:val="0"/>
              <w:autoSpaceDN w:val="0"/>
              <w:adjustRightInd w:val="0"/>
              <w:rPr>
                <w:rFonts w:ascii="宋体" w:hAnsi="Arial" w:cs="宋体"/>
                <w:kern w:val="0"/>
                <w:sz w:val="24"/>
                <w:highlight w:val="white"/>
                <w:lang w:val="zh-CN"/>
              </w:rPr>
            </w:pPr>
            <w:r>
              <w:rPr>
                <w:rFonts w:hint="eastAsia" w:ascii="宋体" w:hAnsi="Arial" w:cs="宋体"/>
                <w:kern w:val="0"/>
                <w:sz w:val="24"/>
                <w:highlight w:val="white"/>
                <w:lang w:val="zh-CN"/>
              </w:rPr>
              <w:t xml:space="preserve">   我所2021年基本支出实际开支共计812.04万元，其中：工资福利支出638.91万元，对个人和家庭补助支出30.62万元，资本性支出46.47万元，以及基本的公用经费96.04万元（主要用于车辆运行费、水、电、办公费等）,年初公用经费预算为57.26万元，原因是业务性专项经费用于弥补基本支出的不足。</w:t>
            </w:r>
          </w:p>
          <w:p>
            <w:pPr>
              <w:autoSpaceDE w:val="0"/>
              <w:autoSpaceDN w:val="0"/>
              <w:adjustRightInd w:val="0"/>
              <w:ind w:firstLine="360" w:firstLineChars="150"/>
              <w:rPr>
                <w:rFonts w:ascii="宋体" w:hAnsi="Arial" w:cs="宋体"/>
                <w:kern w:val="0"/>
                <w:sz w:val="24"/>
                <w:highlight w:val="white"/>
                <w:lang w:val="zh-CN"/>
              </w:rPr>
            </w:pPr>
            <w:r>
              <w:rPr>
                <w:rFonts w:hint="eastAsia" w:ascii="宋体" w:hAnsi="Arial" w:cs="宋体"/>
                <w:kern w:val="0"/>
                <w:sz w:val="24"/>
                <w:highlight w:val="white"/>
                <w:lang w:val="zh-CN"/>
              </w:rPr>
              <w:t>今年我所三公经费实际开支6.46万元，其中：公务招待费0.1万元，车辆使用费6.36万元,出国费0元。</w:t>
            </w:r>
          </w:p>
          <w:p>
            <w:pPr>
              <w:autoSpaceDE w:val="0"/>
              <w:autoSpaceDN w:val="0"/>
              <w:adjustRightInd w:val="0"/>
              <w:rPr>
                <w:rFonts w:ascii="宋体" w:hAnsi="Arial" w:cs="宋体"/>
                <w:kern w:val="0"/>
                <w:sz w:val="24"/>
                <w:highlight w:val="white"/>
                <w:lang w:val="zh-CN"/>
              </w:rPr>
            </w:pPr>
            <w:r>
              <w:rPr>
                <w:rFonts w:hint="eastAsia" w:ascii="宋体" w:hAnsi="Arial" w:cs="宋体"/>
                <w:kern w:val="0"/>
                <w:sz w:val="24"/>
                <w:highlight w:val="white"/>
                <w:lang w:val="zh-CN"/>
              </w:rPr>
              <w:t xml:space="preserve">2、专项执行情况 </w:t>
            </w:r>
          </w:p>
          <w:p>
            <w:pPr>
              <w:autoSpaceDE w:val="0"/>
              <w:autoSpaceDN w:val="0"/>
              <w:adjustRightInd w:val="0"/>
              <w:ind w:firstLine="480" w:firstLineChars="200"/>
              <w:rPr>
                <w:rFonts w:hint="eastAsia" w:ascii="宋体" w:hAnsi="Arial" w:cs="宋体"/>
                <w:kern w:val="0"/>
                <w:sz w:val="24"/>
                <w:highlight w:val="white"/>
                <w:lang w:val="zh-CN"/>
              </w:rPr>
            </w:pPr>
            <w:r>
              <w:rPr>
                <w:rFonts w:hint="eastAsia" w:ascii="宋体" w:hAnsi="Arial" w:cs="宋体"/>
                <w:kern w:val="0"/>
                <w:sz w:val="24"/>
                <w:highlight w:val="white"/>
                <w:lang w:val="zh-CN"/>
              </w:rPr>
              <w:t>我所202</w:t>
            </w:r>
            <w:r>
              <w:rPr>
                <w:rFonts w:hint="eastAsia" w:ascii="宋体" w:hAnsi="Arial" w:cs="宋体"/>
                <w:kern w:val="0"/>
                <w:sz w:val="24"/>
                <w:highlight w:val="white"/>
                <w:lang w:val="en-US" w:eastAsia="zh-CN"/>
              </w:rPr>
              <w:t>1</w:t>
            </w:r>
            <w:r>
              <w:rPr>
                <w:rFonts w:hint="eastAsia" w:ascii="宋体" w:hAnsi="Arial" w:cs="宋体"/>
                <w:kern w:val="0"/>
                <w:sz w:val="24"/>
                <w:highlight w:val="white"/>
                <w:lang w:val="zh-CN"/>
              </w:rPr>
              <w:t>年</w:t>
            </w:r>
            <w:r>
              <w:rPr>
                <w:rFonts w:hint="eastAsia" w:ascii="宋体" w:hAnsi="Arial" w:cs="宋体"/>
                <w:kern w:val="0"/>
                <w:sz w:val="24"/>
                <w:highlight w:val="white"/>
                <w:lang w:val="en-US" w:eastAsia="zh-CN"/>
              </w:rPr>
              <w:t>项目</w:t>
            </w:r>
            <w:r>
              <w:rPr>
                <w:rFonts w:hint="eastAsia" w:ascii="宋体" w:hAnsi="Arial" w:cs="宋体"/>
                <w:kern w:val="0"/>
                <w:sz w:val="24"/>
                <w:highlight w:val="white"/>
                <w:lang w:val="zh-CN"/>
              </w:rPr>
              <w:t>支出实际开支共计437.51万元。其中：工资福利支出0万元，商品服务支出285.65万元，资本性支出（基本建设）65.75万元，资本性支出86.11万元。</w:t>
            </w:r>
          </w:p>
          <w:p>
            <w:pPr>
              <w:autoSpaceDE w:val="0"/>
              <w:autoSpaceDN w:val="0"/>
              <w:adjustRightInd w:val="0"/>
              <w:ind w:firstLine="480" w:firstLineChars="200"/>
              <w:rPr>
                <w:rFonts w:hint="default" w:ascii="宋体" w:hAnsi="Arial" w:eastAsia="宋体" w:cs="宋体"/>
                <w:kern w:val="0"/>
                <w:sz w:val="24"/>
                <w:highlight w:val="white"/>
                <w:lang w:val="en-US" w:eastAsia="zh-CN"/>
              </w:rPr>
            </w:pPr>
            <w:r>
              <w:rPr>
                <w:rFonts w:hint="eastAsia" w:ascii="宋体" w:hAnsi="Arial" w:cs="宋体"/>
                <w:kern w:val="0"/>
                <w:sz w:val="24"/>
                <w:highlight w:val="white"/>
                <w:lang w:val="en-US" w:eastAsia="zh-CN"/>
              </w:rPr>
              <w:t>年末结转和结余14.30万元。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2088" w:type="dxa"/>
            <w:vAlign w:val="center"/>
          </w:tcPr>
          <w:p>
            <w:pPr>
              <w:spacing w:line="576" w:lineRule="exact"/>
              <w:jc w:val="center"/>
              <w:rPr>
                <w:rFonts w:ascii="方正仿宋简体" w:hAnsi="方正小标宋简体" w:eastAsia="方正仿宋简体" w:cs="方正小标宋简体"/>
                <w:sz w:val="24"/>
              </w:rPr>
            </w:pPr>
            <w:r>
              <w:rPr>
                <w:rFonts w:hint="eastAsia" w:ascii="方正仿宋简体" w:hAnsi="方正小标宋简体" w:eastAsia="方正仿宋简体" w:cs="方正小标宋简体"/>
                <w:sz w:val="24"/>
              </w:rPr>
              <w:t>部门整体支出绩效</w:t>
            </w:r>
          </w:p>
        </w:tc>
        <w:tc>
          <w:tcPr>
            <w:tcW w:w="6840" w:type="dxa"/>
            <w:vAlign w:val="center"/>
          </w:tcPr>
          <w:p>
            <w:pPr>
              <w:pStyle w:val="5"/>
              <w:spacing w:before="0" w:beforeAutospacing="0" w:after="0" w:afterAutospacing="0"/>
              <w:jc w:val="both"/>
              <w:rPr>
                <w:rFonts w:hAnsi="Arial"/>
                <w:highlight w:val="white"/>
                <w:lang w:val="zh-CN"/>
              </w:rPr>
            </w:pPr>
            <w:r>
              <w:rPr>
                <w:rFonts w:hint="eastAsia" w:hAnsi="Arial"/>
                <w:highlight w:val="white"/>
                <w:lang w:val="zh-CN"/>
              </w:rPr>
              <w:t xml:space="preserve">    今年来，我所坚持以习近平新时代中国特色社会主义思 </w:t>
            </w:r>
            <w:r>
              <w:rPr>
                <w:rFonts w:hAnsi="Arial"/>
                <w:highlight w:val="white"/>
                <w:lang w:val="zh-CN"/>
              </w:rPr>
              <w:t>想为统领，以庆祝中国共产党建党一百周年为契机，紧扣</w:t>
            </w:r>
            <w:r>
              <w:rPr>
                <w:rFonts w:hint="eastAsia" w:hAnsi="Arial"/>
                <w:highlight w:val="white"/>
                <w:lang w:val="zh-CN"/>
              </w:rPr>
              <w:t>党建引领，党建、检验、科研三位一体推进，突出打造特色检验检测品牌，积极主动参与食品药品的日常抽验和专项行动，为市场监管提供强有力的技术支撑，守护人民群众饮食、用药安全。主要总结为以下几个方面的内容。</w:t>
            </w:r>
          </w:p>
          <w:p>
            <w:pPr>
              <w:pStyle w:val="5"/>
              <w:spacing w:before="0" w:beforeAutospacing="0" w:after="0" w:afterAutospacing="0"/>
              <w:jc w:val="both"/>
              <w:rPr>
                <w:rFonts w:hAnsi="Arial"/>
                <w:highlight w:val="white"/>
                <w:lang w:val="zh-CN"/>
              </w:rPr>
            </w:pPr>
            <w:r>
              <w:rPr>
                <w:rFonts w:hint="eastAsia" w:hAnsi="Arial"/>
                <w:highlight w:val="white"/>
                <w:lang w:val="zh-CN"/>
              </w:rPr>
              <w:t>一、立足本职工作，保障人民群众饮食用药安全有效</w:t>
            </w:r>
          </w:p>
          <w:p>
            <w:pPr>
              <w:pStyle w:val="5"/>
              <w:spacing w:before="0" w:beforeAutospacing="0" w:after="0" w:afterAutospacing="0"/>
              <w:jc w:val="both"/>
              <w:rPr>
                <w:rFonts w:hAnsi="Arial"/>
                <w:highlight w:val="white"/>
                <w:lang w:val="zh-CN"/>
              </w:rPr>
            </w:pPr>
            <w:r>
              <w:rPr>
                <w:rFonts w:hint="eastAsia" w:hAnsi="Arial"/>
                <w:highlight w:val="white"/>
                <w:lang w:val="zh-CN"/>
              </w:rPr>
              <w:t>一、保质保量确保完成省、市局下达的全年检品任务。截至目前为止完成市级食品监督抽样847批次（其中103批次为所抽，21批次为储备粮库巡查专项抽样），已经完成检验的750批次，其中有49个不同批次的食品不合格，不合格率占已完成检验市抽任务的6.53%。完成食品委托检验任务18批次，委托检验全部符合规定。全年完成省级药品检验116批次，其中有一批不符合规定，不合格率0.86%。完成委托药品检验83批次，委托检验全部符合规定，完成市级药品检验任务203批次，其中有一批次不符合规定，不合格率0.49%。完成市级化妆品检验30批次，《湖南省中药炮制规范2020版》27个品种标准起草、5个品种标准复核，12月份以前将全部完成全年工作任务。为市场监管部门市场监督，公正、公平执法提供科学依据，共同守护着全市300多万老百姓舌尖上的安全。</w:t>
            </w:r>
          </w:p>
          <w:p>
            <w:pPr>
              <w:pStyle w:val="5"/>
              <w:spacing w:before="0" w:beforeAutospacing="0" w:after="0" w:afterAutospacing="0"/>
              <w:jc w:val="both"/>
              <w:rPr>
                <w:rFonts w:hAnsi="Arial"/>
                <w:highlight w:val="white"/>
                <w:lang w:val="zh-CN"/>
              </w:rPr>
            </w:pPr>
            <w:r>
              <w:rPr>
                <w:rFonts w:hint="eastAsia" w:hAnsi="Arial"/>
                <w:highlight w:val="white"/>
                <w:lang w:val="zh-CN"/>
              </w:rPr>
              <w:t>二、强化质量管理。今年我所先后开展了质量体系內部审核和管理评审工作。对不合格项目及时制定了纠正措施并加加以整改，对质量管理体系文件中不完善的地方进行修订。通过审核，使得手册覆盖要素更加全面，程序规定职责更加明确，各类作业指导书更加完善，确保了全所质量体系的有序运行。</w:t>
            </w:r>
          </w:p>
          <w:p>
            <w:pPr>
              <w:pStyle w:val="5"/>
              <w:spacing w:before="0" w:beforeAutospacing="0" w:after="0" w:afterAutospacing="0"/>
              <w:jc w:val="both"/>
              <w:rPr>
                <w:rFonts w:hAnsi="Arial"/>
                <w:highlight w:val="white"/>
                <w:lang w:val="zh-CN"/>
              </w:rPr>
            </w:pPr>
            <w:r>
              <w:rPr>
                <w:rFonts w:hint="eastAsia" w:hAnsi="Arial"/>
                <w:highlight w:val="white"/>
                <w:lang w:val="zh-CN"/>
              </w:rPr>
              <w:t>三、大胆探索科研领域。一是2021年科研获得四个立项，三个市级科研项目，一个省级科研项目。二是有一项个人专利获得了国家级实用新型专利证书。三是截止目前发表了四篇国家级论文刊登在国内各大学术权威期刊。四是承担《湖南省中药饮片炮制规范》2020版27个品种的标准起草工作，5个品种的标准复核工作，均已完成。承接湖南省中药配方颗粒20个品种的标准复核工作。五是四篇学术论文获得2019-2021年度湘潭市自然科学优秀学术论文奖，其中《不同炮制方法对苍术中苍术素含量及苍术特征图谱的影响》获得一等奖，作者：赵娟、王科、杨帆；《不同炮制方法对苍术中苍术素含量及苍术特征图谱的影响》作者:杨帆、王科、赵娟；《HPLC-ELSD和IC-ICD检测磺丁基-β-环糊精中的杂质离子》作者：刘秋连、胡翮；《60Co-γ射线辐照灭菌对固肾生发丸指纹图谱和有效成分含量的影响》作者：朱芹、黄湘杰获得三等奖。为检验检测事业的发展增添了后劲。</w:t>
            </w:r>
          </w:p>
          <w:p>
            <w:pPr>
              <w:pStyle w:val="5"/>
              <w:spacing w:before="0" w:beforeAutospacing="0" w:after="0" w:afterAutospacing="0"/>
              <w:jc w:val="both"/>
              <w:rPr>
                <w:rFonts w:hAnsi="Arial"/>
                <w:highlight w:val="white"/>
                <w:lang w:val="zh-CN"/>
              </w:rPr>
            </w:pPr>
            <w:r>
              <w:rPr>
                <w:rFonts w:hint="eastAsia" w:hAnsi="Arial"/>
                <w:highlight w:val="white"/>
                <w:lang w:val="zh-CN"/>
              </w:rPr>
              <w:t>四、加强基础装备建设，抽验条件得到进一步的改善。我所资金紧张的情况下，本着艰苦奋斗、勤俭办事的原则，在我所资金比较紧张的情况下，添置了价值40万元的抽样专用车一台。大大提升了我所检验数据的科学、严谨、准确性。</w:t>
            </w:r>
          </w:p>
          <w:p>
            <w:pPr>
              <w:pStyle w:val="5"/>
              <w:spacing w:before="0" w:beforeAutospacing="0" w:after="0" w:afterAutospacing="0"/>
              <w:jc w:val="both"/>
              <w:rPr>
                <w:rFonts w:hAnsi="Arial"/>
                <w:highlight w:val="white"/>
                <w:lang w:val="zh-CN"/>
              </w:rPr>
            </w:pPr>
          </w:p>
          <w:p>
            <w:pPr>
              <w:pStyle w:val="5"/>
              <w:spacing w:before="0" w:beforeAutospacing="0" w:after="0" w:afterAutospacing="0"/>
              <w:jc w:val="both"/>
              <w:rPr>
                <w:rFonts w:hAnsi="Arial"/>
                <w:highlight w:val="white"/>
                <w:lang w:val="zh-CN"/>
              </w:rPr>
            </w:pPr>
            <w:r>
              <w:rPr>
                <w:rFonts w:hint="eastAsia" w:hAnsi="Arial"/>
                <w:highlight w:val="white"/>
                <w:lang w:val="zh-CN"/>
              </w:rPr>
              <w:t>二、加强学习教育，着力提高全体人员思想道德素质</w:t>
            </w:r>
          </w:p>
          <w:p>
            <w:pPr>
              <w:pStyle w:val="5"/>
              <w:spacing w:before="0" w:beforeAutospacing="0" w:after="0" w:afterAutospacing="0"/>
              <w:jc w:val="both"/>
              <w:rPr>
                <w:rFonts w:hAnsi="Arial"/>
                <w:highlight w:val="white"/>
                <w:lang w:val="zh-CN"/>
              </w:rPr>
            </w:pPr>
            <w:r>
              <w:rPr>
                <w:rFonts w:hint="eastAsia" w:hAnsi="Arial"/>
                <w:highlight w:val="white"/>
                <w:lang w:val="zh-CN"/>
              </w:rPr>
              <w:t>一是加强对党风廉政建设工作的组织领导力度。我们成立了党风廉政建设领导小组，全面负责廉政工作，并将党风廉政建设责任制分解到位。坚持谁主管谁负责，实行“一岗双责”，所部和各科室层层抓落实，形成了网络化的约束机制。在日常工作中高度重视“两个作用”的发挥，以“三会一课”活动为载体，提高党员的思想觉悟，做到领导干部以身作则，带头落实有关纪律制度。二是抓好政治学习。为了使全所干部职工保持蓬勃的朝气、昂扬的锐气和浩然正气，我们坚持把学习教育放在重要位置。全所每周安排一次政治和业务学习，结合食品药品检验工作实际，有计划地学习党的十九大精神和有关行风建设标准、职业道德规范等，以此提高人员政治思想素质与职业道德水平。三是进行党员先进性专题教育。今年初，我们紧紧抓住党员先进性教育这一契机把先教活动与党风廉政、行风建设、文明行业创建工作紧密结合起来，建立党员先进型教育长效机制和党员先进性公示制度，进一步突出了党员的先锋模范作用，增强了党支部的战斗堡垒作用，有力地推动了食品药品检验工作的进展，取得了满意的效果。</w:t>
            </w:r>
          </w:p>
          <w:p>
            <w:pPr>
              <w:pStyle w:val="5"/>
              <w:spacing w:before="0" w:beforeAutospacing="0" w:after="0" w:afterAutospacing="0"/>
              <w:jc w:val="both"/>
              <w:rPr>
                <w:rFonts w:hAnsi="Arial"/>
                <w:highlight w:val="white"/>
                <w:lang w:val="zh-CN"/>
              </w:rPr>
            </w:pPr>
          </w:p>
          <w:p>
            <w:pPr>
              <w:pStyle w:val="5"/>
              <w:spacing w:before="0" w:beforeAutospacing="0" w:after="0" w:afterAutospacing="0"/>
              <w:jc w:val="both"/>
              <w:rPr>
                <w:rFonts w:hAnsi="Arial"/>
                <w:highlight w:val="white"/>
                <w:lang w:val="zh-CN"/>
              </w:rPr>
            </w:pPr>
            <w:r>
              <w:rPr>
                <w:rFonts w:hint="eastAsia" w:hAnsi="Arial"/>
                <w:highlight w:val="white"/>
                <w:lang w:val="zh-CN"/>
              </w:rPr>
              <w:t>三、强化大局意识，积极服务地方经济发展</w:t>
            </w:r>
          </w:p>
          <w:p>
            <w:pPr>
              <w:pStyle w:val="5"/>
              <w:spacing w:before="0" w:beforeAutospacing="0" w:after="0" w:afterAutospacing="0"/>
              <w:jc w:val="both"/>
              <w:rPr>
                <w:rFonts w:hAnsi="Arial"/>
                <w:highlight w:val="white"/>
                <w:lang w:val="zh-CN"/>
              </w:rPr>
            </w:pPr>
            <w:r>
              <w:rPr>
                <w:rFonts w:hint="eastAsia" w:hAnsi="Arial"/>
                <w:highlight w:val="white"/>
                <w:lang w:val="zh-CN"/>
              </w:rPr>
              <w:t>一、上门为企业服务，减轻企业负担。根据我市的实际情况，今年我所分别为湖南铂钜远鸿电子科技有限公司，湖南半陀医疗科技有限公司，新境界（湘潭）医疗科技有限公司环境4家企业免费进行环境监测共计104个厂房，真心的帮扶，受到企业的赞誉。</w:t>
            </w:r>
          </w:p>
          <w:p>
            <w:pPr>
              <w:pStyle w:val="5"/>
              <w:spacing w:before="0" w:beforeAutospacing="0" w:after="0" w:afterAutospacing="0"/>
              <w:jc w:val="both"/>
              <w:rPr>
                <w:rFonts w:hAnsi="Arial"/>
                <w:highlight w:val="white"/>
                <w:lang w:val="zh-CN"/>
              </w:rPr>
            </w:pPr>
            <w:r>
              <w:rPr>
                <w:rFonts w:hint="eastAsia" w:hAnsi="Arial"/>
                <w:highlight w:val="white"/>
                <w:lang w:val="zh-CN"/>
              </w:rPr>
              <w:t>二、做好食品医药企业技术人员培训工作。对食品医药企业提出的人员培训要求，做到有求必应，为来所学习的人员提供一切便利，包括选好代教人员，提供实践操作机会等等，必要时选派技术人员上门服务。</w:t>
            </w:r>
          </w:p>
          <w:p>
            <w:pPr>
              <w:pStyle w:val="5"/>
              <w:spacing w:before="0" w:beforeAutospacing="0" w:after="0" w:afterAutospacing="0"/>
              <w:jc w:val="both"/>
              <w:rPr>
                <w:rFonts w:hAnsi="Arial"/>
                <w:highlight w:val="white"/>
                <w:lang w:val="zh-CN"/>
              </w:rPr>
            </w:pPr>
            <w:r>
              <w:rPr>
                <w:rFonts w:hint="eastAsia" w:hAnsi="Arial"/>
                <w:highlight w:val="white"/>
                <w:lang w:val="zh-CN"/>
              </w:rPr>
              <w:t xml:space="preserve">三、开展技术咨询，做好信息反馈。建立了不合格食品药品定期通报制度，为药品经莒、使用单位严把药品购进质量关提供科学依据;定期把有关的新技术、新方法汇编成册，邮寄至食品药品生产、经营、使用单位，为他们提供参考信息;充分发挥自身特长，对中药材的引进、种植等方面提出合理化建议，为地区经建设与发展提供科学的思路和依据。 </w:t>
            </w:r>
          </w:p>
          <w:p>
            <w:pPr>
              <w:pStyle w:val="5"/>
              <w:spacing w:before="0" w:beforeAutospacing="0" w:after="0" w:afterAutospacing="0"/>
              <w:jc w:val="both"/>
              <w:rPr>
                <w:rFonts w:hAnsi="Arial"/>
                <w:highlight w:val="white"/>
                <w:lang w:val="zh-CN"/>
              </w:rPr>
            </w:pPr>
            <w:r>
              <w:rPr>
                <w:rFonts w:hint="eastAsia" w:hAnsi="Arial"/>
                <w:highlight w:val="white"/>
                <w:lang w:val="zh-CN"/>
              </w:rPr>
              <w:t>四、高校合作为社会培育专业化人才。作为科大和湘大的教学基地，全年相继有80名相关专业的学生在我所实习一个月，均得到带教老师和科室主任的一致好评，实现了培育实用人才端口前移到高等教育的愿望。</w:t>
            </w:r>
          </w:p>
          <w:p>
            <w:pPr>
              <w:pStyle w:val="5"/>
              <w:spacing w:before="0" w:beforeAutospacing="0" w:after="0" w:afterAutospacing="0"/>
              <w:jc w:val="both"/>
              <w:rPr>
                <w:rFonts w:hAnsi="Arial"/>
                <w:highlight w:val="white"/>
                <w:lang w:val="zh-CN"/>
              </w:rPr>
            </w:pPr>
          </w:p>
          <w:p>
            <w:pPr>
              <w:pStyle w:val="5"/>
              <w:spacing w:before="0" w:beforeAutospacing="0" w:after="0" w:afterAutospacing="0"/>
              <w:jc w:val="both"/>
              <w:rPr>
                <w:rFonts w:hAnsi="Arial"/>
                <w:highlight w:val="white"/>
                <w:lang w:val="zh-CN"/>
              </w:rPr>
            </w:pPr>
            <w:r>
              <w:rPr>
                <w:rFonts w:hint="eastAsia" w:hAnsi="Arial"/>
                <w:highlight w:val="white"/>
                <w:lang w:val="zh-CN"/>
              </w:rPr>
              <w:t>四、牢记宗旨观念，狠抓创建文明单位工作的落实.</w:t>
            </w:r>
          </w:p>
          <w:p>
            <w:pPr>
              <w:pStyle w:val="5"/>
              <w:spacing w:before="0" w:beforeAutospacing="0" w:after="0" w:afterAutospacing="0"/>
              <w:jc w:val="both"/>
              <w:rPr>
                <w:rFonts w:hAnsi="Arial"/>
                <w:highlight w:val="white"/>
                <w:lang w:val="zh-CN"/>
              </w:rPr>
            </w:pPr>
            <w:r>
              <w:rPr>
                <w:rFonts w:hint="eastAsia" w:hAnsi="Arial"/>
                <w:highlight w:val="white"/>
                <w:lang w:val="zh-CN"/>
              </w:rPr>
              <w:t>一是政务公开，向社会公开服务承诺。为切实加强创建工作力度，提高办事效率，我所实行“三公开”制度。即检品接收程序公开;检验执行标准公开;检验结果公开。我们还及时向社会公开了服务承诺:遵纪守法、办事公开;热情接待、耐心解答;爱岗敬业、忠于职守;执行标准，科学严谨;规范操作，准确无误;团结协作、文明服务。二是奉献社会，落实有关政策。我所全体职工都自觉自愿的积极参加市、区文明办、市局组织的各项公益活动，例如：点亮微心愿“我是志愿者我来帮”、“讲红色故事”诵读比赛、潇湘家书、阅读空间、篮球比赛、无偿献血、防疫知识宣传、检验机构公众开放日、全国安全用药宣传月“安全用药，坚守初心”、联点共建、精准扶贫等等。</w:t>
            </w:r>
          </w:p>
          <w:p>
            <w:pPr>
              <w:pStyle w:val="5"/>
              <w:spacing w:before="0" w:beforeAutospacing="0" w:after="0" w:afterAutospacing="0"/>
              <w:jc w:val="both"/>
              <w:rPr>
                <w:rFonts w:hAnsi="Arial"/>
                <w:highlight w:val="whit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2088" w:type="dxa"/>
            <w:vAlign w:val="center"/>
          </w:tcPr>
          <w:p>
            <w:pPr>
              <w:spacing w:line="576" w:lineRule="exact"/>
              <w:jc w:val="center"/>
              <w:rPr>
                <w:rFonts w:ascii="方正仿宋简体" w:hAnsi="方正小标宋简体" w:eastAsia="方正仿宋简体" w:cs="方正小标宋简体"/>
                <w:sz w:val="24"/>
              </w:rPr>
            </w:pPr>
            <w:r>
              <w:rPr>
                <w:rFonts w:hint="eastAsia" w:ascii="方正仿宋简体" w:hAnsi="方正小标宋简体" w:eastAsia="方正仿宋简体" w:cs="方正小标宋简体"/>
                <w:sz w:val="24"/>
              </w:rPr>
              <w:t>存在的问题</w:t>
            </w:r>
          </w:p>
        </w:tc>
        <w:tc>
          <w:tcPr>
            <w:tcW w:w="6840" w:type="dxa"/>
            <w:vAlign w:val="center"/>
          </w:tcPr>
          <w:p>
            <w:pPr>
              <w:autoSpaceDE w:val="0"/>
              <w:autoSpaceDN w:val="0"/>
              <w:adjustRightInd w:val="0"/>
              <w:ind w:firstLine="480" w:firstLineChars="200"/>
              <w:rPr>
                <w:rFonts w:ascii="宋体" w:hAnsi="Arial" w:cs="宋体"/>
                <w:kern w:val="0"/>
                <w:sz w:val="24"/>
                <w:highlight w:val="white"/>
                <w:lang w:val="zh-CN"/>
              </w:rPr>
            </w:pPr>
            <w:r>
              <w:rPr>
                <w:rFonts w:hint="eastAsia" w:ascii="宋体" w:hAnsi="Arial" w:cs="宋体"/>
                <w:kern w:val="0"/>
                <w:sz w:val="24"/>
                <w:highlight w:val="white"/>
                <w:lang w:val="zh-CN"/>
              </w:rPr>
              <w:t>一是绩效评价作为一个新的理念大部分人还没有意识到重要性，还不理解，存在单位财务部门忙于应付的情况。</w:t>
            </w:r>
          </w:p>
          <w:p>
            <w:pPr>
              <w:autoSpaceDE w:val="0"/>
              <w:autoSpaceDN w:val="0"/>
              <w:adjustRightInd w:val="0"/>
              <w:ind w:firstLine="480" w:firstLineChars="200"/>
              <w:rPr>
                <w:rFonts w:ascii="宋体" w:hAnsi="Arial" w:cs="宋体"/>
                <w:kern w:val="0"/>
                <w:sz w:val="24"/>
                <w:highlight w:val="white"/>
                <w:lang w:val="zh-CN"/>
              </w:rPr>
            </w:pPr>
            <w:r>
              <w:rPr>
                <w:rFonts w:hint="eastAsia" w:ascii="宋体" w:hAnsi="Arial" w:cs="宋体"/>
                <w:kern w:val="0"/>
                <w:sz w:val="24"/>
                <w:highlight w:val="white"/>
                <w:lang w:val="zh-CN"/>
              </w:rPr>
              <w:t>二是使用和管理口径不同造成财务部门核算的困惑，财务部门有时也无法指导资金的使用，在资金使用上具有被动性和不可知性；业务部门是单位的业务主力军，人手少，在资金使用时往往缺乏计划性，专项经费管理的理念也不强。</w:t>
            </w:r>
          </w:p>
          <w:p>
            <w:pPr>
              <w:autoSpaceDE w:val="0"/>
              <w:autoSpaceDN w:val="0"/>
              <w:adjustRightInd w:val="0"/>
              <w:ind w:firstLine="480" w:firstLineChars="200"/>
              <w:rPr>
                <w:rFonts w:ascii="宋体" w:hAnsi="Arial" w:cs="宋体"/>
                <w:kern w:val="0"/>
                <w:sz w:val="24"/>
                <w:highlight w:val="white"/>
                <w:lang w:val="zh-CN"/>
              </w:rPr>
            </w:pPr>
            <w:r>
              <w:rPr>
                <w:rFonts w:hint="eastAsia" w:ascii="宋体" w:hAnsi="Arial" w:cs="宋体"/>
                <w:kern w:val="0"/>
                <w:sz w:val="24"/>
                <w:highlight w:val="white"/>
                <w:lang w:val="zh-CN"/>
              </w:rPr>
              <w:t>三是在实际操作时，有些开支难以具体归类到哪个项目，这无形中也增加了财务人员的工作量。</w:t>
            </w:r>
          </w:p>
          <w:p>
            <w:pPr>
              <w:autoSpaceDE w:val="0"/>
              <w:autoSpaceDN w:val="0"/>
              <w:adjustRightInd w:val="0"/>
              <w:ind w:firstLine="480" w:firstLineChars="200"/>
              <w:rPr>
                <w:rFonts w:ascii="宋体" w:hAnsi="Arial" w:cs="宋体"/>
                <w:kern w:val="0"/>
                <w:sz w:val="24"/>
                <w:highlight w:val="white"/>
                <w:lang w:val="zh-CN"/>
              </w:rPr>
            </w:pPr>
            <w:r>
              <w:rPr>
                <w:rFonts w:hint="eastAsia" w:ascii="宋体" w:hAnsi="Arial" w:cs="宋体"/>
                <w:kern w:val="0"/>
                <w:sz w:val="24"/>
                <w:highlight w:val="white"/>
                <w:lang w:val="zh-CN"/>
              </w:rPr>
              <w:t>四是仪器设备不能满足检验需要。按照地市级食品药品检验所仪器基本配置要求，还需加购一些基本的仪器，确保全市食品药品安全。而我所为公益一类全额事业单位，并无财政拨款以外的收入来源。</w:t>
            </w:r>
          </w:p>
          <w:p>
            <w:pPr>
              <w:autoSpaceDE w:val="0"/>
              <w:autoSpaceDN w:val="0"/>
              <w:adjustRightInd w:val="0"/>
              <w:ind w:firstLine="480" w:firstLineChars="200"/>
              <w:rPr>
                <w:rFonts w:ascii="宋体" w:hAnsi="Arial" w:cs="宋体"/>
                <w:kern w:val="0"/>
                <w:sz w:val="24"/>
                <w:highlight w:val="white"/>
                <w:lang w:val="zh-CN"/>
              </w:rPr>
            </w:pPr>
            <w:r>
              <w:rPr>
                <w:rFonts w:hint="eastAsia" w:ascii="宋体" w:hAnsi="Arial" w:cs="宋体"/>
                <w:kern w:val="0"/>
                <w:sz w:val="24"/>
                <w:highlight w:val="white"/>
                <w:lang w:val="zh-CN"/>
              </w:rPr>
              <w:t>五是专业技术人员职称与岗位不足。</w:t>
            </w:r>
          </w:p>
          <w:p>
            <w:pPr>
              <w:autoSpaceDE w:val="0"/>
              <w:autoSpaceDN w:val="0"/>
              <w:adjustRightInd w:val="0"/>
              <w:ind w:firstLine="480" w:firstLineChars="200"/>
              <w:rPr>
                <w:rFonts w:ascii="宋体" w:hAnsi="Arial" w:cs="宋体"/>
                <w:kern w:val="0"/>
                <w:sz w:val="24"/>
                <w:highlight w:val="whit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2088" w:type="dxa"/>
            <w:vAlign w:val="center"/>
          </w:tcPr>
          <w:p>
            <w:pPr>
              <w:spacing w:line="576" w:lineRule="exact"/>
              <w:jc w:val="center"/>
              <w:rPr>
                <w:rFonts w:ascii="方正仿宋简体" w:hAnsi="方正小标宋简体" w:eastAsia="方正仿宋简体" w:cs="方正小标宋简体"/>
                <w:sz w:val="24"/>
              </w:rPr>
            </w:pPr>
            <w:r>
              <w:rPr>
                <w:rFonts w:hint="eastAsia" w:ascii="方正仿宋简体" w:hAnsi="方正小标宋简体" w:eastAsia="方正仿宋简体" w:cs="方正小标宋简体"/>
                <w:sz w:val="24"/>
              </w:rPr>
              <w:t>改进措施</w:t>
            </w:r>
          </w:p>
        </w:tc>
        <w:tc>
          <w:tcPr>
            <w:tcW w:w="6840" w:type="dxa"/>
            <w:vAlign w:val="center"/>
          </w:tcPr>
          <w:p>
            <w:pPr>
              <w:autoSpaceDE w:val="0"/>
              <w:autoSpaceDN w:val="0"/>
              <w:adjustRightInd w:val="0"/>
              <w:ind w:firstLine="480" w:firstLineChars="200"/>
              <w:rPr>
                <w:rFonts w:ascii="宋体" w:hAnsi="Arial" w:cs="宋体"/>
                <w:kern w:val="0"/>
                <w:sz w:val="24"/>
                <w:highlight w:val="white"/>
                <w:lang w:val="zh-CN"/>
              </w:rPr>
            </w:pPr>
            <w:r>
              <w:rPr>
                <w:rFonts w:hint="eastAsia" w:ascii="宋体" w:hAnsi="Arial" w:cs="宋体"/>
                <w:kern w:val="0"/>
                <w:sz w:val="24"/>
                <w:highlight w:val="white"/>
                <w:lang w:val="zh-CN"/>
              </w:rPr>
              <w:t>（一）科学合理编制预算，严格执行预算</w:t>
            </w:r>
          </w:p>
          <w:p>
            <w:pPr>
              <w:autoSpaceDE w:val="0"/>
              <w:autoSpaceDN w:val="0"/>
              <w:adjustRightInd w:val="0"/>
              <w:ind w:firstLine="480" w:firstLineChars="200"/>
              <w:rPr>
                <w:rFonts w:ascii="宋体" w:hAnsi="Arial" w:cs="宋体"/>
                <w:kern w:val="0"/>
                <w:sz w:val="24"/>
                <w:highlight w:val="white"/>
                <w:lang w:val="zh-CN"/>
              </w:rPr>
            </w:pPr>
            <w:r>
              <w:rPr>
                <w:rFonts w:hint="eastAsia" w:ascii="宋体" w:hAnsi="Arial" w:cs="宋体"/>
                <w:kern w:val="0"/>
                <w:sz w:val="24"/>
                <w:highlight w:val="white"/>
                <w:lang w:val="zh-CN"/>
              </w:rPr>
              <w:t>加强预算编制的前瞻性，按照新《预算法》及其实施条例的相关规定，按政策规定及本部门的发展规划，结合上一年度预算执行情况和本年度预算收支变化因素，科学、合理地编制本年预算草案，避免项目支出与基本支出划分不准或预算支出与实际执行出现较大偏差的情况，执行中确需调剂预算的，按规定程序报经批准。</w:t>
            </w:r>
          </w:p>
          <w:p>
            <w:pPr>
              <w:autoSpaceDE w:val="0"/>
              <w:autoSpaceDN w:val="0"/>
              <w:adjustRightInd w:val="0"/>
              <w:ind w:firstLine="480" w:firstLineChars="200"/>
              <w:rPr>
                <w:rFonts w:ascii="宋体" w:hAnsi="Arial" w:cs="宋体"/>
                <w:kern w:val="0"/>
                <w:sz w:val="24"/>
                <w:highlight w:val="white"/>
                <w:lang w:val="zh-CN"/>
              </w:rPr>
            </w:pPr>
            <w:r>
              <w:rPr>
                <w:rFonts w:hint="eastAsia" w:ascii="宋体" w:hAnsi="Arial" w:cs="宋体"/>
                <w:kern w:val="0"/>
                <w:sz w:val="24"/>
                <w:highlight w:val="white"/>
                <w:lang w:val="zh-CN"/>
              </w:rPr>
              <w:t>（二）完善管理制度，进一步加强资产管理</w:t>
            </w:r>
          </w:p>
          <w:p>
            <w:pPr>
              <w:autoSpaceDE w:val="0"/>
              <w:autoSpaceDN w:val="0"/>
              <w:adjustRightInd w:val="0"/>
              <w:ind w:firstLine="480" w:firstLineChars="200"/>
              <w:rPr>
                <w:rFonts w:ascii="宋体" w:hAnsi="Arial" w:cs="宋体"/>
                <w:kern w:val="0"/>
                <w:sz w:val="24"/>
                <w:highlight w:val="white"/>
                <w:lang w:val="zh-CN"/>
              </w:rPr>
            </w:pPr>
            <w:r>
              <w:rPr>
                <w:rFonts w:hint="eastAsia" w:ascii="宋体" w:hAnsi="Arial" w:cs="宋体"/>
                <w:kern w:val="0"/>
                <w:sz w:val="24"/>
                <w:highlight w:val="white"/>
                <w:lang w:val="zh-CN"/>
              </w:rPr>
              <w:t>进一步贯彻落实中央八项规定</w:t>
            </w:r>
            <w:bookmarkStart w:id="0" w:name="_GoBack"/>
            <w:bookmarkEnd w:id="0"/>
            <w:r>
              <w:rPr>
                <w:rFonts w:hint="eastAsia" w:ascii="宋体" w:hAnsi="Arial" w:cs="宋体"/>
                <w:kern w:val="0"/>
                <w:sz w:val="24"/>
                <w:highlight w:val="white"/>
                <w:lang w:val="zh-CN"/>
              </w:rPr>
              <w:t>和湖南省委“九条规定”，建立本部门“三公经费”等公务支出管理制度及厉行节约制度，加强经费审批和控制，规范支出标准与范围，并严格执行。</w:t>
            </w:r>
          </w:p>
          <w:p>
            <w:pPr>
              <w:autoSpaceDE w:val="0"/>
              <w:autoSpaceDN w:val="0"/>
              <w:adjustRightInd w:val="0"/>
              <w:ind w:firstLine="480" w:firstLineChars="200"/>
              <w:rPr>
                <w:rFonts w:ascii="宋体" w:hAnsi="Arial" w:cs="宋体"/>
                <w:kern w:val="0"/>
                <w:sz w:val="24"/>
                <w:highlight w:val="white"/>
                <w:lang w:val="zh-CN"/>
              </w:rPr>
            </w:pPr>
            <w:r>
              <w:rPr>
                <w:rFonts w:hint="eastAsia" w:ascii="宋体" w:hAnsi="Arial" w:cs="宋体"/>
                <w:kern w:val="0"/>
                <w:sz w:val="24"/>
                <w:highlight w:val="white"/>
                <w:lang w:val="zh-CN"/>
              </w:rPr>
              <w:t>（三）加强新行政单位会计制度和新预算法学习培训</w:t>
            </w:r>
          </w:p>
          <w:p>
            <w:pPr>
              <w:autoSpaceDE w:val="0"/>
              <w:autoSpaceDN w:val="0"/>
              <w:adjustRightInd w:val="0"/>
              <w:ind w:firstLine="480" w:firstLineChars="200"/>
              <w:rPr>
                <w:rFonts w:ascii="宋体" w:hAnsi="Arial" w:cs="宋体"/>
                <w:kern w:val="0"/>
                <w:sz w:val="24"/>
                <w:highlight w:val="white"/>
                <w:lang w:val="zh-CN"/>
              </w:rPr>
            </w:pPr>
            <w:r>
              <w:rPr>
                <w:rFonts w:hint="eastAsia" w:ascii="宋体" w:hAnsi="Arial" w:cs="宋体"/>
                <w:kern w:val="0"/>
                <w:sz w:val="24"/>
                <w:highlight w:val="white"/>
                <w:lang w:val="zh-CN"/>
              </w:rPr>
              <w:t>加强新《预算法》、《行政单位会计制度》等学习培训，规范部门预算收支核算，一是制定和完善基本支出、项目支出等各项支出标准，严格按项目和进度执行预算，增强预算的约束力和严肃性。二是落实预算执行分析，及时了解预算执行差异，合理调整、纠正预算执行偏差，切实提高部门预算收支管理水平。</w:t>
            </w:r>
          </w:p>
          <w:p>
            <w:pPr>
              <w:autoSpaceDE w:val="0"/>
              <w:autoSpaceDN w:val="0"/>
              <w:adjustRightInd w:val="0"/>
              <w:ind w:firstLine="480" w:firstLineChars="200"/>
              <w:rPr>
                <w:rFonts w:ascii="宋体" w:hAnsi="Arial" w:cs="宋体"/>
                <w:kern w:val="0"/>
                <w:sz w:val="24"/>
                <w:highlight w:val="white"/>
                <w:lang w:val="zh-CN"/>
              </w:rPr>
            </w:pPr>
            <w:r>
              <w:rPr>
                <w:rFonts w:hint="eastAsia" w:ascii="宋体" w:hAnsi="Arial" w:cs="宋体"/>
                <w:kern w:val="0"/>
                <w:sz w:val="24"/>
                <w:highlight w:val="white"/>
                <w:lang w:val="zh-CN"/>
              </w:rPr>
              <w:t>（四）进一步加强队伍建设。加强职工的思想行为意识教育，构筑高尚的价值观，规范和完善管理制度，同时建立公平合理的激励体系，全面提升人员素质；适时开展各种团队活动，通过组织各类兴趣小组并开展相应活动，以增加上、下级之间的沟通和交流，加深感情，提高默契度，以形成团队整体凝聚力，提高工作效率，在和谐的环境中充分发挥积极性，保证工作质量。</w:t>
            </w:r>
          </w:p>
          <w:p>
            <w:pPr>
              <w:autoSpaceDE w:val="0"/>
              <w:autoSpaceDN w:val="0"/>
              <w:adjustRightInd w:val="0"/>
              <w:ind w:firstLine="480" w:firstLineChars="200"/>
              <w:rPr>
                <w:rFonts w:ascii="宋体" w:hAnsi="Arial" w:cs="宋体"/>
                <w:kern w:val="0"/>
                <w:sz w:val="24"/>
                <w:highlight w:val="white"/>
                <w:lang w:val="zh-CN"/>
              </w:rPr>
            </w:pPr>
            <w:r>
              <w:rPr>
                <w:rFonts w:hint="eastAsia" w:ascii="宋体" w:hAnsi="Arial" w:cs="宋体"/>
                <w:kern w:val="0"/>
                <w:sz w:val="24"/>
                <w:highlight w:val="white"/>
                <w:lang w:val="zh-CN"/>
              </w:rPr>
              <w:t>（五）进一步加强检验设施环境的建设。发展才是硬道理，我们在财政非常困难的情况下，投入大量资金，用于购买部分高精尖设备。如气质联用仪、液相色谱仪、各型检测器，使检验结果更具权威、准确和高效。</w:t>
            </w:r>
          </w:p>
          <w:p>
            <w:pPr>
              <w:autoSpaceDE w:val="0"/>
              <w:autoSpaceDN w:val="0"/>
              <w:adjustRightInd w:val="0"/>
              <w:ind w:firstLine="480" w:firstLineChars="200"/>
              <w:rPr>
                <w:rFonts w:ascii="宋体" w:hAnsi="Arial" w:cs="宋体"/>
                <w:kern w:val="0"/>
                <w:sz w:val="24"/>
                <w:highlight w:val="white"/>
                <w:lang w:val="zh-CN"/>
              </w:rPr>
            </w:pPr>
            <w:r>
              <w:rPr>
                <w:rFonts w:hint="eastAsia" w:ascii="宋体" w:hAnsi="Arial" w:cs="宋体"/>
                <w:kern w:val="0"/>
                <w:sz w:val="24"/>
                <w:highlight w:val="white"/>
                <w:lang w:val="zh-CN"/>
              </w:rPr>
              <w:t>（六）进一步加大人才培养和引进的力度。在食品药品检测事业发展的进程中，人才是一笔宝贵的无形资产，进一步加大检验人员的培养和引进力度，充分调动人才的积极性、创造性，充分挖掘人才的潜力，发挥人才的聪明才智，为食药检事业的发展提供强有力的技术支撑。 </w:t>
            </w:r>
          </w:p>
          <w:p>
            <w:pPr>
              <w:autoSpaceDE w:val="0"/>
              <w:autoSpaceDN w:val="0"/>
              <w:adjustRightInd w:val="0"/>
              <w:ind w:firstLine="480" w:firstLineChars="200"/>
              <w:rPr>
                <w:rFonts w:ascii="宋体" w:hAnsi="Arial" w:cs="宋体"/>
                <w:kern w:val="0"/>
                <w:sz w:val="24"/>
                <w:highlight w:val="white"/>
                <w:lang w:val="zh-CN"/>
              </w:rPr>
            </w:pPr>
            <w:r>
              <w:rPr>
                <w:rFonts w:hint="eastAsia" w:ascii="宋体" w:hAnsi="Arial" w:cs="宋体"/>
                <w:kern w:val="0"/>
                <w:sz w:val="24"/>
                <w:highlight w:val="white"/>
                <w:lang w:val="zh-CN"/>
              </w:rPr>
              <w:t>（七）苦练内功，加强实验室的管理。我们严格按《实验室资质认定评审准则》以及《食品药品检验机构资质认定评审准则》要求，修改建立新的质量手册、程序文件等，对《评审准则》的十九个要点作出了明确规定。所有检验工作严格按照文件要求执行，定期组织了内审和管理评审，确保管理体系的有效运行。</w:t>
            </w:r>
          </w:p>
          <w:p>
            <w:pPr>
              <w:autoSpaceDE w:val="0"/>
              <w:autoSpaceDN w:val="0"/>
              <w:adjustRightInd w:val="0"/>
              <w:ind w:firstLine="480" w:firstLineChars="200"/>
              <w:rPr>
                <w:rFonts w:ascii="宋体" w:hAnsi="Arial" w:cs="宋体"/>
                <w:kern w:val="0"/>
                <w:sz w:val="24"/>
                <w:highlight w:val="white"/>
                <w:lang w:val="zh-CN"/>
              </w:rPr>
            </w:pPr>
            <w:r>
              <w:rPr>
                <w:rFonts w:hint="eastAsia" w:ascii="宋体" w:hAnsi="Arial" w:cs="宋体"/>
                <w:kern w:val="0"/>
                <w:sz w:val="24"/>
                <w:highlight w:val="white"/>
                <w:lang w:val="zh-CN"/>
              </w:rPr>
              <w:t>（八）积极争取上级部门和地方政府的支持。形成合力推进检验检测事业科学持续的开展。</w:t>
            </w:r>
          </w:p>
          <w:p>
            <w:pPr>
              <w:autoSpaceDE w:val="0"/>
              <w:autoSpaceDN w:val="0"/>
              <w:adjustRightInd w:val="0"/>
              <w:ind w:firstLine="480" w:firstLineChars="200"/>
              <w:rPr>
                <w:rFonts w:ascii="宋体" w:hAnsi="Arial" w:cs="宋体"/>
                <w:kern w:val="0"/>
                <w:sz w:val="24"/>
                <w:highlight w:val="whit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trPr>
        <w:tc>
          <w:tcPr>
            <w:tcW w:w="2088" w:type="dxa"/>
            <w:vAlign w:val="center"/>
          </w:tcPr>
          <w:p>
            <w:pPr>
              <w:spacing w:line="576" w:lineRule="exact"/>
              <w:jc w:val="center"/>
              <w:rPr>
                <w:rFonts w:ascii="方正仿宋简体" w:hAnsi="方正小标宋简体" w:eastAsia="方正仿宋简体" w:cs="方正小标宋简体"/>
                <w:sz w:val="21"/>
                <w:szCs w:val="21"/>
              </w:rPr>
            </w:pPr>
            <w:r>
              <w:rPr>
                <w:rFonts w:hint="eastAsia" w:ascii="方正仿宋简体" w:hAnsi="方正小标宋简体" w:eastAsia="方正仿宋简体" w:cs="方正小标宋简体"/>
                <w:sz w:val="21"/>
                <w:szCs w:val="21"/>
              </w:rPr>
              <w:t>其他需要说明问题</w:t>
            </w:r>
          </w:p>
        </w:tc>
        <w:tc>
          <w:tcPr>
            <w:tcW w:w="6840" w:type="dxa"/>
            <w:vAlign w:val="center"/>
          </w:tcPr>
          <w:p>
            <w:pPr>
              <w:spacing w:line="576" w:lineRule="exact"/>
              <w:jc w:val="center"/>
              <w:rPr>
                <w:rFonts w:ascii="方正小标宋简体" w:hAnsi="方正小标宋简体" w:eastAsia="方正小标宋简体" w:cs="方正小标宋简体"/>
                <w:sz w:val="21"/>
                <w:szCs w:val="21"/>
              </w:rPr>
            </w:pPr>
          </w:p>
        </w:tc>
      </w:tr>
    </w:tbl>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7A"/>
    <w:family w:val="script"/>
    <w:pitch w:val="default"/>
    <w:sig w:usb0="00000000" w:usb1="00000000" w:usb2="00000000" w:usb3="00000000" w:csb0="00040000" w:csb1="00000000"/>
  </w:font>
  <w:font w:name="方正仿宋简体">
    <w:altName w:val="微软雅黑"/>
    <w:panose1 w:val="00000000000000000000"/>
    <w:charset w:val="7A"/>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xNzE2YTNkOTgzZTA0Zjg5NjZlYTIwZjg1NTEyNzYifQ=="/>
  </w:docVars>
  <w:rsids>
    <w:rsidRoot w:val="00DE581F"/>
    <w:rsid w:val="0008180C"/>
    <w:rsid w:val="00086ACE"/>
    <w:rsid w:val="000942C0"/>
    <w:rsid w:val="0011751A"/>
    <w:rsid w:val="001E3C7F"/>
    <w:rsid w:val="001E5B9A"/>
    <w:rsid w:val="002355C7"/>
    <w:rsid w:val="00287D6D"/>
    <w:rsid w:val="002A6653"/>
    <w:rsid w:val="00311337"/>
    <w:rsid w:val="0033502D"/>
    <w:rsid w:val="00337E2C"/>
    <w:rsid w:val="00485E4C"/>
    <w:rsid w:val="004D7E36"/>
    <w:rsid w:val="005002B8"/>
    <w:rsid w:val="00531284"/>
    <w:rsid w:val="005479A1"/>
    <w:rsid w:val="005A22B6"/>
    <w:rsid w:val="006B783E"/>
    <w:rsid w:val="006E0C71"/>
    <w:rsid w:val="00701B2C"/>
    <w:rsid w:val="0071028C"/>
    <w:rsid w:val="007B46FB"/>
    <w:rsid w:val="007B7AF6"/>
    <w:rsid w:val="00806790"/>
    <w:rsid w:val="008957C7"/>
    <w:rsid w:val="0094566F"/>
    <w:rsid w:val="00981186"/>
    <w:rsid w:val="009B7C2A"/>
    <w:rsid w:val="00A372AC"/>
    <w:rsid w:val="00A554FC"/>
    <w:rsid w:val="00AE2726"/>
    <w:rsid w:val="00B11991"/>
    <w:rsid w:val="00B1704A"/>
    <w:rsid w:val="00B66375"/>
    <w:rsid w:val="00B671A3"/>
    <w:rsid w:val="00B97D80"/>
    <w:rsid w:val="00BE2970"/>
    <w:rsid w:val="00C953E9"/>
    <w:rsid w:val="00CC2F3E"/>
    <w:rsid w:val="00D52546"/>
    <w:rsid w:val="00D60019"/>
    <w:rsid w:val="00DC3471"/>
    <w:rsid w:val="00DE581F"/>
    <w:rsid w:val="00E062D4"/>
    <w:rsid w:val="00E57513"/>
    <w:rsid w:val="00EA7D53"/>
    <w:rsid w:val="00F012F0"/>
    <w:rsid w:val="00F0285A"/>
    <w:rsid w:val="00F30247"/>
    <w:rsid w:val="00F34FB4"/>
    <w:rsid w:val="00F871D4"/>
    <w:rsid w:val="0C3F28C7"/>
    <w:rsid w:val="4DD904CC"/>
    <w:rsid w:val="67FE26B0"/>
    <w:rsid w:val="7F144C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endnote text"/>
    <w:basedOn w:val="1"/>
    <w:link w:val="12"/>
    <w:qFormat/>
    <w:uiPriority w:val="0"/>
    <w:rPr>
      <w:rFonts w:ascii="Calibri" w:hAnsi="Calibri"/>
      <w:sz w:val="21"/>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8">
    <w:name w:val="Strong"/>
    <w:basedOn w:val="7"/>
    <w:qFormat/>
    <w:uiPriority w:val="0"/>
    <w:rPr>
      <w:b/>
    </w:rPr>
  </w:style>
  <w:style w:type="character" w:styleId="9">
    <w:name w:val="Hyperlink"/>
    <w:basedOn w:val="7"/>
    <w:semiHidden/>
    <w:unhideWhenUsed/>
    <w:qFormat/>
    <w:uiPriority w:val="99"/>
    <w:rPr>
      <w:color w:val="0000FF"/>
      <w:u w:val="single"/>
    </w:rPr>
  </w:style>
  <w:style w:type="character" w:customStyle="1" w:styleId="10">
    <w:name w:val="页眉 字符"/>
    <w:basedOn w:val="7"/>
    <w:link w:val="4"/>
    <w:semiHidden/>
    <w:qFormat/>
    <w:uiPriority w:val="99"/>
    <w:rPr>
      <w:rFonts w:ascii="Times New Roman" w:hAnsi="Times New Roman" w:eastAsia="宋体" w:cs="Times New Roman"/>
      <w:sz w:val="18"/>
      <w:szCs w:val="18"/>
    </w:rPr>
  </w:style>
  <w:style w:type="character" w:customStyle="1" w:styleId="11">
    <w:name w:val="页脚 字符"/>
    <w:basedOn w:val="7"/>
    <w:link w:val="3"/>
    <w:semiHidden/>
    <w:qFormat/>
    <w:uiPriority w:val="99"/>
    <w:rPr>
      <w:rFonts w:ascii="Times New Roman" w:hAnsi="Times New Roman" w:eastAsia="宋体" w:cs="Times New Roman"/>
      <w:sz w:val="18"/>
      <w:szCs w:val="18"/>
    </w:rPr>
  </w:style>
  <w:style w:type="character" w:customStyle="1" w:styleId="12">
    <w:name w:val="尾注文本 字符"/>
    <w:basedOn w:val="7"/>
    <w:link w:val="2"/>
    <w:qFormat/>
    <w:uiPriority w:val="0"/>
    <w:rPr>
      <w:rFonts w:ascii="Calibri" w:hAnsi="Calibri"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4684</Words>
  <Characters>4950</Characters>
  <Lines>35</Lines>
  <Paragraphs>10</Paragraphs>
  <TotalTime>10</TotalTime>
  <ScaleCrop>false</ScaleCrop>
  <LinksUpToDate>false</LinksUpToDate>
  <CharactersWithSpaces>4964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2022-05-24T08:20:00Z</dcterms:created>
  <dc:creator>Ding</dc:creator>
  <cp:lastModifiedBy>Administrator</cp:lastModifiedBy>
  <cp:lastPrinted>2020-06-16T04:31:00Z</cp:lastPrinted>
  <dcterms:modified xsi:type="dcterms:W3CDTF">2023-09-15T01:20:53Z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DEA41B4B6C9545B39496D87D936ACFA8_13</vt:lpwstr>
  </property>
</Properties>
</file>