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FEC9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危重症和活动受限</w:t>
      </w:r>
      <w:bookmarkStart w:id="0" w:name="_GoBack"/>
      <w:bookmarkEnd w:id="0"/>
      <w:r>
        <w:rPr>
          <w:rFonts w:hint="eastAsia" w:ascii="方正小标宋简体" w:hAnsi="方正小标宋简体" w:eastAsia="方正小标宋简体" w:cs="方正小标宋简体"/>
          <w:sz w:val="44"/>
          <w:szCs w:val="44"/>
        </w:rPr>
        <w:t>脑卒中患者转运规范</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地方标准编制说明</w:t>
      </w:r>
    </w:p>
    <w:p w14:paraId="7286E03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480" w:lineRule="exact"/>
        <w:jc w:val="both"/>
        <w:textAlignment w:val="auto"/>
        <w:rPr>
          <w:rFonts w:hint="eastAsia" w:ascii="方正小标宋简体" w:hAnsi="方正小标宋简体" w:eastAsia="方正小标宋简体" w:cs="方正小标宋简体"/>
          <w:sz w:val="44"/>
          <w:szCs w:val="44"/>
          <w:lang w:val="en-US" w:eastAsia="zh-CN"/>
        </w:rPr>
      </w:pPr>
    </w:p>
    <w:p w14:paraId="22C3D7B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一、目的意义</w:t>
      </w:r>
    </w:p>
    <w:p w14:paraId="0032250E">
      <w:pPr>
        <w:pStyle w:val="3"/>
        <w:keepNext w:val="0"/>
        <w:keepLines w:val="0"/>
        <w:pageBreakBefore w:val="0"/>
        <w:widowControl/>
        <w:kinsoku/>
        <w:wordWrap/>
        <w:overflowPunct/>
        <w:topLinePunct w:val="0"/>
        <w:autoSpaceDE/>
        <w:autoSpaceDN/>
        <w:bidi w:val="0"/>
        <w:adjustRightInd/>
        <w:snapToGrid/>
        <w:spacing w:beforeAutospacing="0" w:afterAutospacing="0" w:line="600" w:lineRule="exact"/>
        <w:ind w:left="0" w:leftChars="0" w:firstLine="659" w:firstLineChars="200"/>
        <w:textAlignment w:val="auto"/>
        <w:rPr>
          <w:rFonts w:hint="eastAsia" w:ascii="仿宋_GB2312" w:hAnsi="仿宋_GB2312" w:eastAsia="仿宋_GB2312" w:cs="仿宋_GB2312"/>
          <w:b/>
          <w:bCs/>
          <w:spacing w:val="4"/>
          <w:sz w:val="32"/>
          <w:szCs w:val="32"/>
          <w:lang w:val="en-US" w:eastAsia="zh-CN"/>
        </w:rPr>
      </w:pPr>
      <w:r>
        <w:rPr>
          <w:rFonts w:hint="eastAsia" w:ascii="仿宋_GB2312" w:hAnsi="仿宋_GB2312" w:eastAsia="仿宋_GB2312" w:cs="仿宋_GB2312"/>
          <w:b/>
          <w:bCs/>
          <w:spacing w:val="4"/>
          <w:sz w:val="32"/>
          <w:szCs w:val="32"/>
          <w:lang w:val="en-US" w:eastAsia="zh-CN"/>
        </w:rPr>
        <w:t>1、行业现状</w:t>
      </w:r>
    </w:p>
    <w:p w14:paraId="66EB02EF">
      <w:pPr>
        <w:pStyle w:val="3"/>
        <w:keepNext w:val="0"/>
        <w:keepLines w:val="0"/>
        <w:pageBreakBefore w:val="0"/>
        <w:widowControl/>
        <w:kinsoku/>
        <w:wordWrap/>
        <w:overflowPunct/>
        <w:topLinePunct w:val="0"/>
        <w:autoSpaceDE/>
        <w:autoSpaceDN/>
        <w:bidi w:val="0"/>
        <w:adjustRightInd/>
        <w:snapToGrid/>
        <w:spacing w:beforeAutospacing="0" w:afterAutospacing="0" w:line="600" w:lineRule="exact"/>
        <w:ind w:left="0" w:leftChars="0" w:firstLine="656" w:firstLineChars="200"/>
        <w:textAlignment w:val="auto"/>
        <w:rPr>
          <w:rFonts w:hint="eastAsia" w:ascii="仿宋_GB2312" w:hAnsi="仿宋_GB2312" w:eastAsia="仿宋_GB2312" w:cs="仿宋_GB2312"/>
          <w:b w:val="0"/>
          <w:bCs w:val="0"/>
          <w:spacing w:val="4"/>
          <w:sz w:val="32"/>
          <w:szCs w:val="32"/>
          <w:lang w:eastAsia="zh-CN"/>
        </w:rPr>
      </w:pPr>
      <w:r>
        <w:rPr>
          <w:rFonts w:hint="eastAsia" w:ascii="仿宋_GB2312" w:hAnsi="仿宋_GB2312" w:eastAsia="仿宋_GB2312" w:cs="仿宋_GB2312"/>
          <w:b w:val="0"/>
          <w:bCs w:val="0"/>
          <w:spacing w:val="4"/>
          <w:sz w:val="32"/>
          <w:szCs w:val="32"/>
          <w:lang w:val="en-US" w:eastAsia="zh-CN"/>
        </w:rPr>
        <w:t>脑卒中</w:t>
      </w:r>
      <w:r>
        <w:rPr>
          <w:rFonts w:hint="eastAsia" w:ascii="仿宋_GB2312" w:hAnsi="仿宋_GB2312" w:eastAsia="仿宋_GB2312" w:cs="仿宋_GB2312"/>
          <w:b w:val="0"/>
          <w:bCs w:val="0"/>
          <w:spacing w:val="4"/>
          <w:sz w:val="32"/>
          <w:szCs w:val="32"/>
          <w:lang w:eastAsia="zh-CN"/>
        </w:rPr>
        <w:t>是我国成人致死、致残的</w:t>
      </w:r>
      <w:r>
        <w:rPr>
          <w:rFonts w:hint="eastAsia" w:ascii="仿宋_GB2312" w:hAnsi="仿宋_GB2312" w:eastAsia="仿宋_GB2312" w:cs="仿宋_GB2312"/>
          <w:b w:val="0"/>
          <w:bCs w:val="0"/>
          <w:spacing w:val="4"/>
          <w:sz w:val="32"/>
          <w:szCs w:val="32"/>
          <w:lang w:val="en-US" w:eastAsia="zh-CN"/>
        </w:rPr>
        <w:t>首要</w:t>
      </w:r>
      <w:r>
        <w:rPr>
          <w:rFonts w:hint="eastAsia" w:ascii="仿宋_GB2312" w:hAnsi="仿宋_GB2312" w:eastAsia="仿宋_GB2312" w:cs="仿宋_GB2312"/>
          <w:b w:val="0"/>
          <w:bCs w:val="0"/>
          <w:spacing w:val="4"/>
          <w:sz w:val="32"/>
          <w:szCs w:val="32"/>
          <w:lang w:eastAsia="zh-CN"/>
        </w:rPr>
        <w:t>病因，其特点是高发病率、高复发率、高致残率、高死亡率、高经济负担。</w:t>
      </w:r>
      <w:r>
        <w:rPr>
          <w:rFonts w:hint="eastAsia" w:ascii="仿宋_GB2312" w:hAnsi="仿宋_GB2312" w:eastAsia="仿宋_GB2312" w:cs="仿宋_GB2312"/>
          <w:b w:val="0"/>
          <w:bCs w:val="0"/>
          <w:spacing w:val="4"/>
          <w:sz w:val="32"/>
          <w:szCs w:val="32"/>
          <w:lang w:val="en-US" w:eastAsia="zh-CN"/>
        </w:rPr>
        <w:t>据</w:t>
      </w:r>
      <w:r>
        <w:rPr>
          <w:rFonts w:hint="eastAsia" w:ascii="仿宋_GB2312" w:hAnsi="仿宋_GB2312" w:eastAsia="仿宋_GB2312" w:cs="仿宋_GB2312"/>
          <w:b w:val="0"/>
          <w:bCs w:val="0"/>
          <w:spacing w:val="4"/>
          <w:sz w:val="32"/>
          <w:szCs w:val="32"/>
          <w:lang w:eastAsia="zh-CN"/>
        </w:rPr>
        <w:t>《中国脑卒中防治报告(202</w:t>
      </w:r>
      <w:r>
        <w:rPr>
          <w:rFonts w:hint="eastAsia" w:ascii="仿宋_GB2312" w:hAnsi="仿宋_GB2312" w:eastAsia="仿宋_GB2312" w:cs="仿宋_GB2312"/>
          <w:b w:val="0"/>
          <w:bCs w:val="0"/>
          <w:spacing w:val="4"/>
          <w:sz w:val="32"/>
          <w:szCs w:val="32"/>
          <w:lang w:val="en-US" w:eastAsia="zh-CN"/>
        </w:rPr>
        <w:t>1</w:t>
      </w:r>
      <w:r>
        <w:rPr>
          <w:rFonts w:hint="eastAsia" w:ascii="仿宋_GB2312" w:hAnsi="仿宋_GB2312" w:eastAsia="仿宋_GB2312" w:cs="仿宋_GB2312"/>
          <w:b w:val="0"/>
          <w:bCs w:val="0"/>
          <w:spacing w:val="4"/>
          <w:sz w:val="32"/>
          <w:szCs w:val="32"/>
          <w:lang w:eastAsia="zh-CN"/>
        </w:rPr>
        <w:t>)》</w:t>
      </w:r>
      <w:r>
        <w:rPr>
          <w:rFonts w:hint="eastAsia" w:ascii="仿宋_GB2312" w:hAnsi="仿宋_GB2312" w:eastAsia="仿宋_GB2312" w:cs="仿宋_GB2312"/>
          <w:b w:val="0"/>
          <w:bCs w:val="0"/>
          <w:spacing w:val="4"/>
          <w:sz w:val="32"/>
          <w:szCs w:val="32"/>
          <w:lang w:val="en-US" w:eastAsia="zh-CN"/>
        </w:rPr>
        <w:t>数据</w:t>
      </w:r>
      <w:r>
        <w:rPr>
          <w:rFonts w:hint="eastAsia" w:ascii="仿宋_GB2312" w:hAnsi="仿宋_GB2312" w:eastAsia="仿宋_GB2312" w:cs="仿宋_GB2312"/>
          <w:b w:val="0"/>
          <w:bCs w:val="0"/>
          <w:spacing w:val="4"/>
          <w:sz w:val="32"/>
          <w:szCs w:val="32"/>
          <w:lang w:eastAsia="zh-CN"/>
        </w:rPr>
        <w:t>显示，我国平均每10秒就有1人初发或复发脑卒中，40岁及以上人群脑卒中现患人数</w:t>
      </w:r>
      <w:r>
        <w:rPr>
          <w:rFonts w:hint="eastAsia" w:ascii="仿宋_GB2312" w:hAnsi="仿宋_GB2312" w:eastAsia="仿宋_GB2312" w:cs="仿宋_GB2312"/>
          <w:b w:val="0"/>
          <w:bCs w:val="0"/>
          <w:spacing w:val="4"/>
          <w:sz w:val="32"/>
          <w:szCs w:val="32"/>
          <w:lang w:val="en-US" w:eastAsia="zh-CN"/>
        </w:rPr>
        <w:t>高</w:t>
      </w:r>
      <w:r>
        <w:rPr>
          <w:rFonts w:hint="eastAsia" w:ascii="仿宋_GB2312" w:hAnsi="仿宋_GB2312" w:eastAsia="仿宋_GB2312" w:cs="仿宋_GB2312"/>
          <w:b w:val="0"/>
          <w:bCs w:val="0"/>
          <w:spacing w:val="4"/>
          <w:sz w:val="32"/>
          <w:szCs w:val="32"/>
          <w:lang w:eastAsia="zh-CN"/>
        </w:rPr>
        <w:t>达1242万，</w:t>
      </w:r>
      <w:r>
        <w:rPr>
          <w:rFonts w:hint="eastAsia" w:ascii="仿宋_GB2312" w:hAnsi="仿宋_GB2312" w:eastAsia="仿宋_GB2312" w:cs="仿宋_GB2312"/>
          <w:b w:val="0"/>
          <w:bCs w:val="0"/>
          <w:spacing w:val="4"/>
          <w:sz w:val="32"/>
          <w:szCs w:val="32"/>
          <w:lang w:val="en-US" w:eastAsia="zh-CN"/>
        </w:rPr>
        <w:t>防控形势极其严峻。</w:t>
      </w:r>
    </w:p>
    <w:p w14:paraId="6544314B">
      <w:pPr>
        <w:pStyle w:val="3"/>
        <w:keepNext w:val="0"/>
        <w:keepLines w:val="0"/>
        <w:pageBreakBefore w:val="0"/>
        <w:widowControl/>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z w:val="32"/>
          <w:szCs w:val="32"/>
        </w:rPr>
        <w:t>湖南省作为脑卒中发病的高发省份，</w:t>
      </w:r>
      <w:r>
        <w:rPr>
          <w:rFonts w:hint="eastAsia" w:ascii="仿宋_GB2312" w:hAnsi="仿宋_GB2312" w:eastAsia="仿宋_GB2312" w:cs="仿宋_GB2312"/>
          <w:sz w:val="32"/>
          <w:szCs w:val="32"/>
          <w:lang w:val="en-US" w:eastAsia="zh-CN"/>
        </w:rPr>
        <w:t>其疾病负担尤为沉重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近年数据监测表明，全省</w:t>
      </w:r>
      <w:r>
        <w:rPr>
          <w:rFonts w:hint="eastAsia" w:ascii="仿宋_GB2312" w:hAnsi="仿宋_GB2312" w:eastAsia="仿宋_GB2312" w:cs="仿宋_GB2312"/>
          <w:sz w:val="32"/>
          <w:szCs w:val="32"/>
        </w:rPr>
        <w:t>脑卒中年死亡人数达6.5万，</w:t>
      </w:r>
      <w:r>
        <w:rPr>
          <w:rFonts w:hint="eastAsia" w:ascii="仿宋_GB2312" w:hAnsi="仿宋_GB2312" w:eastAsia="仿宋_GB2312" w:cs="仿宋_GB2312"/>
          <w:sz w:val="32"/>
          <w:szCs w:val="32"/>
          <w:lang w:val="en-US" w:eastAsia="zh-CN"/>
        </w:rPr>
        <w:t>且</w:t>
      </w:r>
      <w:r>
        <w:rPr>
          <w:rFonts w:hint="eastAsia" w:ascii="仿宋_GB2312" w:hAnsi="仿宋_GB2312" w:eastAsia="仿宋_GB2312" w:cs="仿宋_GB2312"/>
          <w:sz w:val="32"/>
          <w:szCs w:val="32"/>
        </w:rPr>
        <w:t>年增长速率达8.7%。</w:t>
      </w:r>
      <w:r>
        <w:rPr>
          <w:rFonts w:hint="eastAsia" w:ascii="仿宋_GB2312" w:hAnsi="仿宋_GB2312" w:eastAsia="仿宋_GB2312" w:cs="仿宋_GB2312"/>
          <w:sz w:val="32"/>
          <w:szCs w:val="32"/>
          <w:lang w:val="en-US" w:eastAsia="zh-CN"/>
        </w:rPr>
        <w:t>显著高于全国平均水平，</w:t>
      </w:r>
      <w:r>
        <w:rPr>
          <w:rFonts w:hint="eastAsia" w:ascii="仿宋_GB2312" w:hAnsi="仿宋_GB2312" w:eastAsia="仿宋_GB2312" w:cs="仿宋_GB2312"/>
          <w:i w:val="0"/>
          <w:iCs w:val="0"/>
          <w:caps w:val="0"/>
          <w:spacing w:val="4"/>
          <w:sz w:val="32"/>
          <w:szCs w:val="32"/>
          <w:shd w:val="clear"/>
          <w:lang w:eastAsia="zh-CN"/>
        </w:rPr>
        <w:t>凸显本区域面临的独特挑战。</w:t>
      </w:r>
    </w:p>
    <w:p w14:paraId="744A62DE">
      <w:pPr>
        <w:pStyle w:val="3"/>
        <w:keepNext w:val="0"/>
        <w:keepLines w:val="0"/>
        <w:pageBreakBefore w:val="0"/>
        <w:widowControl/>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湘潭市作为湖南省的一个地级市，人口总数约270万人，2023年收治的脑卒中患者人数高达11938人，发病率达4.379‰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这一数据凸显了我市在脑卒中防治方面的严峻挑战和急迫需求。</w:t>
      </w:r>
    </w:p>
    <w:p w14:paraId="7F02774E">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6" w:firstLineChars="200"/>
        <w:textAlignment w:val="auto"/>
        <w:rPr>
          <w:rFonts w:hint="eastAsia" w:ascii="仿宋_GB2312" w:hAnsi="仿宋_GB2312" w:eastAsia="仿宋_GB2312" w:cs="仿宋_GB2312"/>
          <w:b w:val="0"/>
          <w:bCs w:val="0"/>
          <w:color w:val="auto"/>
          <w:spacing w:val="4"/>
          <w:sz w:val="32"/>
          <w:szCs w:val="32"/>
          <w:lang w:val="en-US" w:eastAsia="zh-CN"/>
        </w:rPr>
      </w:pPr>
      <w:r>
        <w:rPr>
          <w:rFonts w:hint="eastAsia" w:ascii="仿宋_GB2312" w:hAnsi="仿宋_GB2312" w:eastAsia="仿宋_GB2312" w:cs="仿宋_GB2312"/>
          <w:b w:val="0"/>
          <w:bCs w:val="0"/>
          <w:spacing w:val="4"/>
          <w:sz w:val="32"/>
          <w:szCs w:val="32"/>
          <w:lang w:val="en-US" w:eastAsia="zh-CN"/>
        </w:rPr>
        <w:t>在发病率的年轻化趋势和人口老龄化进程加速的双重压力下，</w:t>
      </w:r>
      <w:r>
        <w:rPr>
          <w:rFonts w:hint="eastAsia" w:ascii="仿宋_GB2312" w:hAnsi="仿宋_GB2312" w:eastAsia="仿宋_GB2312" w:cs="仿宋_GB2312"/>
          <w:i w:val="0"/>
          <w:iCs w:val="0"/>
          <w:caps w:val="0"/>
          <w:spacing w:val="4"/>
          <w:sz w:val="32"/>
          <w:szCs w:val="32"/>
          <w:shd w:val="clear"/>
          <w:lang w:val="en-US" w:eastAsia="zh-CN"/>
        </w:rPr>
        <w:t>危重症和活动受限脑卒中患者的比例持续攀升</w:t>
      </w:r>
      <w:r>
        <w:rPr>
          <w:rFonts w:hint="eastAsia" w:ascii="仿宋_GB2312" w:hAnsi="仿宋_GB2312" w:eastAsia="仿宋_GB2312" w:cs="仿宋_GB2312"/>
          <w:b w:val="0"/>
          <w:bCs w:val="0"/>
          <w:spacing w:val="4"/>
          <w:sz w:val="32"/>
          <w:szCs w:val="32"/>
          <w:lang w:val="en-US" w:eastAsia="zh-CN"/>
        </w:rPr>
        <w:t>，据我院统计数据显示：此类</w:t>
      </w:r>
      <w:r>
        <w:rPr>
          <w:rFonts w:hint="eastAsia" w:ascii="仿宋_GB2312" w:hAnsi="仿宋_GB2312" w:eastAsia="仿宋_GB2312" w:cs="仿宋_GB2312"/>
          <w:color w:val="auto"/>
          <w:spacing w:val="4"/>
          <w:sz w:val="32"/>
          <w:szCs w:val="32"/>
          <w:lang w:val="en-US" w:eastAsia="zh-CN"/>
        </w:rPr>
        <w:t>患者中高达82%需进行院内和院级转运，且转运</w:t>
      </w:r>
      <w:r>
        <w:rPr>
          <w:rFonts w:hint="eastAsia" w:ascii="仿宋_GB2312" w:hAnsi="仿宋_GB2312" w:eastAsia="仿宋_GB2312" w:cs="仿宋_GB2312"/>
          <w:b w:val="0"/>
          <w:bCs w:val="0"/>
          <w:color w:val="auto"/>
          <w:spacing w:val="4"/>
          <w:sz w:val="32"/>
          <w:szCs w:val="32"/>
          <w:lang w:val="en-US" w:eastAsia="zh-CN"/>
        </w:rPr>
        <w:t>患者数量呈持续上升的态势。</w:t>
      </w:r>
    </w:p>
    <w:p w14:paraId="64A97409">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9" w:firstLineChars="200"/>
        <w:textAlignment w:val="auto"/>
        <w:rPr>
          <w:rFonts w:hint="eastAsia" w:ascii="仿宋_GB2312" w:hAnsi="仿宋_GB2312" w:eastAsia="仿宋_GB2312" w:cs="仿宋_GB2312"/>
          <w:b/>
          <w:bCs/>
          <w:color w:val="auto"/>
          <w:spacing w:val="4"/>
          <w:sz w:val="32"/>
          <w:szCs w:val="32"/>
          <w:lang w:val="en-US" w:eastAsia="zh-CN"/>
        </w:rPr>
      </w:pPr>
      <w:r>
        <w:rPr>
          <w:rFonts w:hint="eastAsia" w:ascii="仿宋_GB2312" w:hAnsi="仿宋_GB2312" w:eastAsia="仿宋_GB2312" w:cs="仿宋_GB2312"/>
          <w:b/>
          <w:bCs/>
          <w:color w:val="auto"/>
          <w:spacing w:val="4"/>
          <w:sz w:val="32"/>
          <w:szCs w:val="32"/>
          <w:lang w:val="en-US" w:eastAsia="zh-CN"/>
        </w:rPr>
        <w:t>2、制定标准的必要性</w:t>
      </w:r>
    </w:p>
    <w:p w14:paraId="0E2345AA">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6" w:firstLineChars="200"/>
        <w:textAlignment w:val="auto"/>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val="0"/>
          <w:bCs w:val="0"/>
          <w:spacing w:val="4"/>
          <w:sz w:val="32"/>
          <w:szCs w:val="32"/>
          <w:lang w:val="en-US" w:eastAsia="zh-CN"/>
        </w:rPr>
        <w:t>标准的制定对于规范转运过程、提升医疗服务质量、保障患者安全具有重要意义。它主要体现在以下方面：</w:t>
      </w:r>
    </w:p>
    <w:p w14:paraId="0B8C97A3">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9" w:firstLineChars="200"/>
        <w:textAlignment w:val="auto"/>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bCs/>
          <w:spacing w:val="4"/>
          <w:sz w:val="32"/>
          <w:szCs w:val="32"/>
          <w:lang w:val="en-US" w:eastAsia="zh-CN"/>
        </w:rPr>
        <w:t>（1）分级诊疗需求</w:t>
      </w:r>
      <w:r>
        <w:rPr>
          <w:rFonts w:hint="eastAsia" w:ascii="仿宋_GB2312" w:hAnsi="仿宋_GB2312" w:eastAsia="仿宋_GB2312" w:cs="仿宋_GB2312"/>
          <w:b w:val="0"/>
          <w:bCs w:val="0"/>
          <w:spacing w:val="4"/>
          <w:sz w:val="32"/>
          <w:szCs w:val="32"/>
          <w:lang w:val="en-US" w:eastAsia="zh-CN"/>
        </w:rPr>
        <w:t>：在医联体建设和双向转诊、上下联动分级诊疗模式广泛开展的背景下，院际转运成为常态，</w:t>
      </w:r>
      <w:r>
        <w:rPr>
          <w:rFonts w:hint="eastAsia" w:ascii="仿宋_GB2312" w:hAnsi="仿宋_GB2312" w:eastAsia="仿宋_GB2312" w:cs="仿宋_GB2312"/>
          <w:spacing w:val="4"/>
          <w:sz w:val="32"/>
          <w:szCs w:val="32"/>
          <w:lang w:eastAsia="zh-CN"/>
        </w:rPr>
        <w:t>约</w:t>
      </w:r>
      <w:r>
        <w:rPr>
          <w:rFonts w:hint="eastAsia" w:ascii="仿宋_GB2312" w:hAnsi="仿宋_GB2312" w:eastAsia="仿宋_GB2312" w:cs="仿宋_GB2312"/>
          <w:spacing w:val="4"/>
          <w:sz w:val="32"/>
          <w:szCs w:val="32"/>
          <w:lang w:val="en-US" w:eastAsia="zh-CN"/>
        </w:rPr>
        <w:t>50%</w:t>
      </w:r>
      <w:r>
        <w:rPr>
          <w:rFonts w:hint="eastAsia" w:ascii="仿宋_GB2312" w:hAnsi="仿宋_GB2312" w:eastAsia="仿宋_GB2312" w:cs="仿宋_GB2312"/>
          <w:spacing w:val="4"/>
          <w:sz w:val="32"/>
          <w:szCs w:val="32"/>
          <w:lang w:eastAsia="zh-CN"/>
        </w:rPr>
        <w:t>的危重症</w:t>
      </w:r>
      <w:r>
        <w:rPr>
          <w:rFonts w:hint="eastAsia" w:ascii="仿宋_GB2312" w:hAnsi="仿宋_GB2312" w:eastAsia="仿宋_GB2312" w:cs="仿宋_GB2312"/>
          <w:spacing w:val="4"/>
          <w:sz w:val="32"/>
          <w:szCs w:val="32"/>
          <w:lang w:val="en-US" w:eastAsia="zh-CN"/>
        </w:rPr>
        <w:t>脑卒中</w:t>
      </w:r>
      <w:r>
        <w:rPr>
          <w:rFonts w:hint="eastAsia" w:ascii="仿宋_GB2312" w:hAnsi="仿宋_GB2312" w:eastAsia="仿宋_GB2312" w:cs="仿宋_GB2312"/>
          <w:spacing w:val="4"/>
          <w:sz w:val="32"/>
          <w:szCs w:val="32"/>
          <w:lang w:eastAsia="zh-CN"/>
        </w:rPr>
        <w:t>患者</w:t>
      </w:r>
      <w:r>
        <w:rPr>
          <w:rFonts w:hint="eastAsia" w:ascii="仿宋_GB2312" w:hAnsi="仿宋_GB2312" w:eastAsia="仿宋_GB2312" w:cs="仿宋_GB2312"/>
          <w:spacing w:val="4"/>
          <w:sz w:val="32"/>
          <w:szCs w:val="32"/>
          <w:lang w:val="en-US" w:eastAsia="zh-CN"/>
        </w:rPr>
        <w:t>需要</w:t>
      </w:r>
      <w:r>
        <w:rPr>
          <w:rFonts w:hint="eastAsia" w:ascii="仿宋_GB2312" w:hAnsi="仿宋_GB2312" w:eastAsia="仿宋_GB2312" w:cs="仿宋_GB2312"/>
          <w:spacing w:val="4"/>
          <w:sz w:val="32"/>
          <w:szCs w:val="32"/>
          <w:lang w:eastAsia="zh-CN"/>
        </w:rPr>
        <w:t>院际转运</w:t>
      </w:r>
      <w:r>
        <w:rPr>
          <w:rFonts w:hint="eastAsia" w:ascii="仿宋_GB2312" w:hAnsi="仿宋_GB2312" w:eastAsia="仿宋_GB2312" w:cs="仿宋_GB2312"/>
          <w:b w:val="0"/>
          <w:bCs w:val="0"/>
          <w:spacing w:val="4"/>
          <w:sz w:val="32"/>
          <w:szCs w:val="32"/>
          <w:lang w:val="en-US" w:eastAsia="zh-CN"/>
        </w:rPr>
        <w:t>。因此，制定</w:t>
      </w:r>
      <w:r>
        <w:rPr>
          <w:rFonts w:hint="eastAsia" w:ascii="仿宋_GB2312" w:hAnsi="仿宋_GB2312" w:eastAsia="仿宋_GB2312" w:cs="仿宋_GB2312"/>
          <w:spacing w:val="4"/>
          <w:sz w:val="32"/>
          <w:szCs w:val="32"/>
          <w:lang w:eastAsia="zh-CN"/>
        </w:rPr>
        <w:t>危重症</w:t>
      </w:r>
      <w:r>
        <w:rPr>
          <w:rFonts w:hint="eastAsia" w:ascii="仿宋_GB2312" w:hAnsi="仿宋_GB2312" w:eastAsia="仿宋_GB2312" w:cs="仿宋_GB2312"/>
          <w:spacing w:val="4"/>
          <w:sz w:val="32"/>
          <w:szCs w:val="32"/>
          <w:lang w:val="en-US" w:eastAsia="zh-CN"/>
        </w:rPr>
        <w:t>和活动受限脑卒中</w:t>
      </w:r>
      <w:r>
        <w:rPr>
          <w:rFonts w:hint="eastAsia" w:ascii="仿宋_GB2312" w:hAnsi="仿宋_GB2312" w:eastAsia="仿宋_GB2312" w:cs="仿宋_GB2312"/>
          <w:spacing w:val="4"/>
          <w:sz w:val="32"/>
          <w:szCs w:val="32"/>
          <w:lang w:eastAsia="zh-CN"/>
        </w:rPr>
        <w:t>患者</w:t>
      </w:r>
      <w:r>
        <w:rPr>
          <w:rFonts w:hint="eastAsia" w:ascii="仿宋_GB2312" w:hAnsi="仿宋_GB2312" w:eastAsia="仿宋_GB2312" w:cs="仿宋_GB2312"/>
          <w:spacing w:val="4"/>
          <w:sz w:val="32"/>
          <w:szCs w:val="32"/>
          <w:lang w:val="en-US" w:eastAsia="zh-CN"/>
        </w:rPr>
        <w:t>转运规范尤为重要。这不仅可以</w:t>
      </w:r>
      <w:r>
        <w:rPr>
          <w:rFonts w:hint="eastAsia" w:ascii="仿宋_GB2312" w:hAnsi="仿宋_GB2312" w:eastAsia="仿宋_GB2312" w:cs="仿宋_GB2312"/>
          <w:b w:val="0"/>
          <w:bCs w:val="0"/>
          <w:spacing w:val="4"/>
          <w:sz w:val="32"/>
          <w:szCs w:val="32"/>
          <w:lang w:val="en-US" w:eastAsia="zh-CN"/>
        </w:rPr>
        <w:t>提高转运效率，提升基层医疗服务水平，实现同质化管理。</w:t>
      </w:r>
    </w:p>
    <w:p w14:paraId="744CBF25">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9" w:firstLineChars="200"/>
        <w:textAlignment w:val="auto"/>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bCs/>
          <w:spacing w:val="4"/>
          <w:sz w:val="32"/>
          <w:szCs w:val="32"/>
          <w:lang w:val="en-US" w:eastAsia="zh-CN"/>
        </w:rPr>
        <w:t>（2）医疗安全的需求：</w:t>
      </w:r>
      <w:r>
        <w:rPr>
          <w:rFonts w:hint="eastAsia" w:ascii="仿宋_GB2312" w:hAnsi="仿宋_GB2312" w:eastAsia="仿宋_GB2312" w:cs="仿宋_GB2312"/>
          <w:b w:val="0"/>
          <w:bCs w:val="0"/>
          <w:spacing w:val="4"/>
          <w:sz w:val="32"/>
          <w:szCs w:val="32"/>
          <w:lang w:val="en-US" w:eastAsia="zh-CN"/>
        </w:rPr>
        <w:t>转运过程中不良事件发生率和死亡比例居高不下，</w:t>
      </w:r>
      <w:r>
        <w:rPr>
          <w:rFonts w:hint="eastAsia" w:ascii="仿宋_GB2312" w:hAnsi="仿宋_GB2312" w:eastAsia="仿宋_GB2312" w:cs="仿宋_GB2312"/>
          <w:spacing w:val="4"/>
          <w:sz w:val="32"/>
          <w:szCs w:val="32"/>
          <w:lang w:val="en-US" w:eastAsia="zh-CN"/>
        </w:rPr>
        <w:t>据文献报道</w:t>
      </w:r>
      <w:r>
        <w:rPr>
          <w:rFonts w:hint="eastAsia" w:ascii="仿宋_GB2312" w:hAnsi="仿宋_GB2312" w:eastAsia="仿宋_GB2312" w:cs="仿宋_GB2312"/>
          <w:spacing w:val="4"/>
          <w:sz w:val="32"/>
          <w:szCs w:val="32"/>
          <w:lang w:eastAsia="zh-CN"/>
        </w:rPr>
        <w:t>危重</w:t>
      </w:r>
      <w:r>
        <w:rPr>
          <w:rFonts w:hint="eastAsia" w:ascii="仿宋_GB2312" w:hAnsi="仿宋_GB2312" w:eastAsia="仿宋_GB2312" w:cs="仿宋_GB2312"/>
          <w:spacing w:val="4"/>
          <w:sz w:val="32"/>
          <w:szCs w:val="32"/>
          <w:lang w:val="en-US" w:eastAsia="zh-CN"/>
        </w:rPr>
        <w:t>患者</w:t>
      </w:r>
      <w:r>
        <w:rPr>
          <w:rFonts w:hint="eastAsia" w:ascii="仿宋_GB2312" w:hAnsi="仿宋_GB2312" w:eastAsia="仿宋_GB2312" w:cs="仿宋_GB2312"/>
          <w:spacing w:val="4"/>
          <w:sz w:val="32"/>
          <w:szCs w:val="32"/>
          <w:lang w:eastAsia="zh-CN"/>
        </w:rPr>
        <w:t>转运</w:t>
      </w:r>
      <w:r>
        <w:rPr>
          <w:rFonts w:hint="eastAsia" w:ascii="仿宋_GB2312" w:hAnsi="仿宋_GB2312" w:eastAsia="仿宋_GB2312" w:cs="仿宋_GB2312"/>
          <w:color w:val="auto"/>
          <w:spacing w:val="4"/>
          <w:sz w:val="32"/>
          <w:szCs w:val="32"/>
          <w:lang w:eastAsia="zh-CN"/>
        </w:rPr>
        <w:t>的不良事件发生率</w:t>
      </w:r>
      <w:r>
        <w:rPr>
          <w:rFonts w:hint="eastAsia" w:ascii="仿宋_GB2312" w:hAnsi="仿宋_GB2312" w:eastAsia="仿宋_GB2312" w:cs="仿宋_GB2312"/>
          <w:color w:val="auto"/>
          <w:spacing w:val="4"/>
          <w:sz w:val="32"/>
          <w:szCs w:val="32"/>
          <w:lang w:val="en-US" w:eastAsia="zh-CN"/>
        </w:rPr>
        <w:t>为</w:t>
      </w:r>
      <w:r>
        <w:rPr>
          <w:rFonts w:hint="eastAsia" w:ascii="仿宋_GB2312" w:hAnsi="仿宋_GB2312" w:eastAsia="仿宋_GB2312" w:cs="仿宋_GB2312"/>
          <w:color w:val="auto"/>
          <w:spacing w:val="4"/>
          <w:sz w:val="32"/>
          <w:szCs w:val="32"/>
          <w:lang w:eastAsia="zh-CN"/>
        </w:rPr>
        <w:t>46.2%~79.8%，</w:t>
      </w:r>
      <w:r>
        <w:rPr>
          <w:rFonts w:hint="eastAsia" w:ascii="仿宋_GB2312" w:hAnsi="仿宋_GB2312" w:eastAsia="仿宋_GB2312" w:cs="仿宋_GB2312"/>
          <w:color w:val="auto"/>
          <w:spacing w:val="4"/>
          <w:sz w:val="32"/>
          <w:szCs w:val="32"/>
          <w:lang w:val="en-US" w:eastAsia="zh-CN"/>
        </w:rPr>
        <w:t>且</w:t>
      </w:r>
      <w:r>
        <w:rPr>
          <w:rFonts w:hint="eastAsia" w:ascii="仿宋_GB2312" w:hAnsi="仿宋_GB2312" w:eastAsia="仿宋_GB2312" w:cs="仿宋_GB2312"/>
          <w:color w:val="auto"/>
          <w:spacing w:val="4"/>
          <w:sz w:val="32"/>
          <w:szCs w:val="32"/>
          <w:lang w:eastAsia="zh-CN"/>
        </w:rPr>
        <w:t>经历院际转运危重症患者的死亡比例比普通危重症患者高4%~8%，</w:t>
      </w:r>
      <w:r>
        <w:rPr>
          <w:rFonts w:hint="eastAsia" w:ascii="仿宋_GB2312" w:hAnsi="仿宋_GB2312" w:eastAsia="仿宋_GB2312" w:cs="仿宋_GB2312"/>
          <w:b w:val="0"/>
          <w:bCs w:val="0"/>
          <w:color w:val="auto"/>
          <w:spacing w:val="4"/>
          <w:sz w:val="32"/>
          <w:szCs w:val="32"/>
          <w:lang w:val="en-US" w:eastAsia="zh-CN"/>
        </w:rPr>
        <w:t>凸显了现有转运流程存在的问题。</w:t>
      </w:r>
      <w:r>
        <w:rPr>
          <w:rFonts w:hint="eastAsia" w:ascii="仿宋_GB2312" w:hAnsi="仿宋_GB2312" w:eastAsia="仿宋_GB2312" w:cs="仿宋_GB2312"/>
          <w:color w:val="auto"/>
          <w:spacing w:val="4"/>
          <w:sz w:val="32"/>
          <w:szCs w:val="32"/>
          <w:lang w:eastAsia="zh-CN"/>
        </w:rPr>
        <w:t>2015</w:t>
      </w:r>
      <w:r>
        <w:rPr>
          <w:rFonts w:hint="eastAsia" w:ascii="仿宋_GB2312" w:hAnsi="仿宋_GB2312" w:eastAsia="仿宋_GB2312" w:cs="仿宋_GB2312"/>
          <w:spacing w:val="4"/>
          <w:sz w:val="32"/>
          <w:szCs w:val="32"/>
          <w:lang w:eastAsia="zh-CN"/>
        </w:rPr>
        <w:t>年美国已将“患者转运”列为十大患者安全问题，</w:t>
      </w:r>
      <w:r>
        <w:rPr>
          <w:rFonts w:hint="eastAsia" w:ascii="仿宋_GB2312" w:hAnsi="仿宋_GB2312" w:eastAsia="仿宋_GB2312" w:cs="仿宋_GB2312"/>
          <w:spacing w:val="4"/>
          <w:sz w:val="32"/>
          <w:szCs w:val="32"/>
          <w:lang w:val="en-US" w:eastAsia="zh-CN"/>
        </w:rPr>
        <w:t>故</w:t>
      </w:r>
      <w:r>
        <w:rPr>
          <w:rFonts w:hint="eastAsia" w:ascii="仿宋_GB2312" w:hAnsi="仿宋_GB2312" w:eastAsia="仿宋_GB2312" w:cs="仿宋_GB2312"/>
          <w:b w:val="0"/>
          <w:bCs w:val="0"/>
          <w:spacing w:val="4"/>
          <w:sz w:val="32"/>
          <w:szCs w:val="32"/>
          <w:lang w:val="en-US" w:eastAsia="zh-CN"/>
        </w:rPr>
        <w:t>制定转运规范，有效减少风险，提高转运安全性非常有必要。</w:t>
      </w:r>
    </w:p>
    <w:p w14:paraId="3A6DEE3F">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9"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4"/>
          <w:sz w:val="32"/>
          <w:szCs w:val="32"/>
          <w:lang w:val="en-US" w:eastAsia="zh-CN"/>
        </w:rPr>
        <w:t>（3）基层医疗服务能力提升</w:t>
      </w:r>
      <w:r>
        <w:rPr>
          <w:rFonts w:hint="eastAsia" w:ascii="仿宋_GB2312" w:hAnsi="仿宋_GB2312" w:eastAsia="仿宋_GB2312" w:cs="仿宋_GB2312"/>
          <w:b w:val="0"/>
          <w:bCs w:val="0"/>
          <w:spacing w:val="4"/>
          <w:sz w:val="32"/>
          <w:szCs w:val="32"/>
          <w:lang w:val="en-US" w:eastAsia="zh-CN"/>
        </w:rPr>
        <w:t>：通过标准化转运流程，不仅可以优化医院内部及医疗机构间的运作效率，缩短等待时间，还可以为医护人员提供明确的操作标准，减少医疗</w:t>
      </w:r>
      <w:r>
        <w:rPr>
          <w:rFonts w:hint="eastAsia" w:ascii="仿宋_GB2312" w:hAnsi="仿宋_GB2312" w:eastAsia="仿宋_GB2312" w:cs="仿宋_GB2312"/>
          <w:spacing w:val="4"/>
          <w:sz w:val="32"/>
          <w:szCs w:val="32"/>
          <w:lang w:eastAsia="zh-CN"/>
        </w:rPr>
        <w:t>不良事件的发生</w:t>
      </w:r>
      <w:r>
        <w:rPr>
          <w:rFonts w:hint="eastAsia" w:ascii="仿宋_GB2312" w:hAnsi="仿宋_GB2312" w:eastAsia="仿宋_GB2312" w:cs="仿宋_GB2312"/>
          <w:b w:val="0"/>
          <w:bCs w:val="0"/>
          <w:spacing w:val="4"/>
          <w:sz w:val="32"/>
          <w:szCs w:val="32"/>
          <w:lang w:val="en-US" w:eastAsia="zh-CN"/>
        </w:rPr>
        <w:t>。同时，该</w:t>
      </w:r>
      <w:r>
        <w:rPr>
          <w:rFonts w:hint="eastAsia" w:ascii="仿宋_GB2312" w:hAnsi="仿宋_GB2312" w:eastAsia="仿宋_GB2312" w:cs="仿宋_GB2312"/>
          <w:spacing w:val="4"/>
          <w:sz w:val="32"/>
          <w:szCs w:val="32"/>
          <w:lang w:eastAsia="zh-CN"/>
        </w:rPr>
        <w:t>规范</w:t>
      </w:r>
      <w:r>
        <w:rPr>
          <w:rFonts w:hint="eastAsia" w:ascii="仿宋_GB2312" w:hAnsi="仿宋_GB2312" w:eastAsia="仿宋_GB2312" w:cs="仿宋_GB2312"/>
          <w:spacing w:val="4"/>
          <w:sz w:val="32"/>
          <w:szCs w:val="32"/>
          <w:lang w:val="en-US" w:eastAsia="zh-CN"/>
        </w:rPr>
        <w:t>的制定</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不仅</w:t>
      </w:r>
      <w:r>
        <w:rPr>
          <w:rFonts w:hint="eastAsia" w:ascii="仿宋_GB2312" w:hAnsi="仿宋_GB2312" w:eastAsia="仿宋_GB2312" w:cs="仿宋_GB2312"/>
          <w:spacing w:val="4"/>
          <w:sz w:val="32"/>
          <w:szCs w:val="32"/>
          <w:lang w:eastAsia="zh-CN"/>
        </w:rPr>
        <w:t>有效</w:t>
      </w:r>
      <w:r>
        <w:rPr>
          <w:rFonts w:hint="eastAsia" w:ascii="仿宋_GB2312" w:hAnsi="仿宋_GB2312" w:eastAsia="仿宋_GB2312" w:cs="仿宋_GB2312"/>
          <w:b w:val="0"/>
          <w:bCs w:val="0"/>
          <w:spacing w:val="4"/>
          <w:sz w:val="32"/>
          <w:szCs w:val="32"/>
          <w:lang w:val="en-US" w:eastAsia="zh-CN"/>
        </w:rPr>
        <w:t>提升患者满意度、</w:t>
      </w:r>
      <w:r>
        <w:rPr>
          <w:rFonts w:hint="eastAsia" w:ascii="仿宋_GB2312" w:hAnsi="仿宋_GB2312" w:eastAsia="仿宋_GB2312" w:cs="仿宋_GB2312"/>
          <w:spacing w:val="4"/>
          <w:sz w:val="32"/>
          <w:szCs w:val="32"/>
          <w:lang w:eastAsia="zh-CN"/>
        </w:rPr>
        <w:t>医疗服务质量，保障患者安全，</w:t>
      </w:r>
      <w:r>
        <w:rPr>
          <w:rFonts w:hint="eastAsia" w:ascii="仿宋_GB2312" w:hAnsi="仿宋_GB2312" w:eastAsia="仿宋_GB2312" w:cs="仿宋_GB2312"/>
          <w:spacing w:val="4"/>
          <w:sz w:val="32"/>
          <w:szCs w:val="32"/>
          <w:lang w:val="en-US" w:eastAsia="zh-CN"/>
        </w:rPr>
        <w:t>并对提升</w:t>
      </w:r>
      <w:r>
        <w:rPr>
          <w:rFonts w:hint="eastAsia" w:ascii="仿宋_GB2312" w:hAnsi="仿宋_GB2312" w:eastAsia="仿宋_GB2312" w:cs="仿宋_GB2312"/>
          <w:color w:val="auto"/>
          <w:spacing w:val="4"/>
          <w:sz w:val="32"/>
          <w:szCs w:val="32"/>
          <w:lang w:val="en-US" w:eastAsia="zh-CN"/>
        </w:rPr>
        <w:t>基层卫生服务水平起到积极作用，推动全市达到同质化管理。</w:t>
      </w:r>
    </w:p>
    <w:p w14:paraId="733E1300">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9" w:firstLineChars="200"/>
        <w:textAlignment w:val="auto"/>
        <w:rPr>
          <w:rFonts w:hint="eastAsia" w:ascii="仿宋_GB2312" w:hAnsi="仿宋_GB2312" w:eastAsia="仿宋_GB2312" w:cs="仿宋_GB2312"/>
          <w:b/>
          <w:bCs/>
          <w:spacing w:val="4"/>
          <w:sz w:val="32"/>
          <w:szCs w:val="32"/>
          <w:lang w:val="en-US" w:eastAsia="zh-CN"/>
        </w:rPr>
      </w:pPr>
      <w:r>
        <w:rPr>
          <w:rFonts w:hint="eastAsia" w:ascii="仿宋_GB2312" w:hAnsi="仿宋_GB2312" w:eastAsia="仿宋_GB2312" w:cs="仿宋_GB2312"/>
          <w:b/>
          <w:bCs/>
          <w:spacing w:val="4"/>
          <w:sz w:val="32"/>
          <w:szCs w:val="32"/>
          <w:lang w:val="en-US" w:eastAsia="zh-CN"/>
        </w:rPr>
        <w:t>3、制定标准的可行性：</w:t>
      </w:r>
    </w:p>
    <w:p w14:paraId="24C8F65C">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Style w:val="8"/>
          <w:rFonts w:hint="eastAsia" w:ascii="仿宋_GB2312" w:hAnsi="仿宋_GB2312" w:eastAsia="仿宋_GB2312" w:cs="仿宋_GB2312"/>
          <w:b/>
          <w:bCs/>
          <w:i w:val="0"/>
          <w:iCs w:val="0"/>
          <w:caps w:val="0"/>
          <w:color w:val="404040"/>
          <w:spacing w:val="0"/>
          <w:sz w:val="32"/>
          <w:szCs w:val="32"/>
          <w:shd w:val="clear" w:fill="FFFFFF"/>
          <w:lang w:eastAsia="zh-CN"/>
        </w:rPr>
        <w:t>（</w:t>
      </w:r>
      <w:r>
        <w:rPr>
          <w:rStyle w:val="8"/>
          <w:rFonts w:hint="eastAsia" w:ascii="仿宋_GB2312" w:hAnsi="仿宋_GB2312" w:eastAsia="仿宋_GB2312" w:cs="仿宋_GB2312"/>
          <w:b/>
          <w:bCs/>
          <w:i w:val="0"/>
          <w:iCs w:val="0"/>
          <w:caps w:val="0"/>
          <w:color w:val="404040"/>
          <w:spacing w:val="0"/>
          <w:sz w:val="32"/>
          <w:szCs w:val="32"/>
          <w:shd w:val="clear" w:fill="FFFFFF"/>
          <w:lang w:val="en-US" w:eastAsia="zh-CN"/>
        </w:rPr>
        <w:t>1</w:t>
      </w:r>
      <w:r>
        <w:rPr>
          <w:rStyle w:val="8"/>
          <w:rFonts w:hint="eastAsia" w:ascii="仿宋_GB2312" w:hAnsi="仿宋_GB2312" w:eastAsia="仿宋_GB2312" w:cs="仿宋_GB2312"/>
          <w:b/>
          <w:bCs/>
          <w:i w:val="0"/>
          <w:iCs w:val="0"/>
          <w:caps w:val="0"/>
          <w:color w:val="404040"/>
          <w:spacing w:val="0"/>
          <w:sz w:val="32"/>
          <w:szCs w:val="32"/>
          <w:shd w:val="clear" w:fill="FFFFFF"/>
          <w:lang w:eastAsia="zh-CN"/>
        </w:rPr>
        <w:t>）</w:t>
      </w:r>
      <w:r>
        <w:rPr>
          <w:rStyle w:val="8"/>
          <w:rFonts w:hint="eastAsia" w:ascii="仿宋_GB2312" w:hAnsi="仿宋_GB2312" w:eastAsia="仿宋_GB2312" w:cs="仿宋_GB2312"/>
          <w:b/>
          <w:bCs/>
          <w:i w:val="0"/>
          <w:iCs w:val="0"/>
          <w:caps w:val="0"/>
          <w:color w:val="404040"/>
          <w:spacing w:val="0"/>
          <w:sz w:val="32"/>
          <w:szCs w:val="32"/>
          <w:shd w:val="clear" w:fill="FFFFFF"/>
        </w:rPr>
        <w:t>技术基础</w:t>
      </w:r>
      <w:r>
        <w:rPr>
          <w:rFonts w:hint="eastAsia" w:ascii="仿宋_GB2312" w:hAnsi="仿宋_GB2312" w:eastAsia="仿宋_GB2312" w:cs="仿宋_GB2312"/>
          <w:i w:val="0"/>
          <w:iCs w:val="0"/>
          <w:caps w:val="0"/>
          <w:color w:val="404040"/>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rPr>
        <w:t>湘潭市中心医院，作为本地区三级甲等综合医院和城市医疗集团的牵头单位，自2017年以来，其首创的“湘潭模式”在缺血性脑卒中救治方面取得了显著成效，获得了多项省级和国家级荣誉。据统计，2019</w:t>
      </w:r>
      <w:r>
        <w:rPr>
          <w:rFonts w:hint="eastAsia" w:ascii="仿宋_GB2312" w:hAnsi="仿宋_GB2312" w:eastAsia="仿宋_GB2312" w:cs="仿宋_GB2312"/>
          <w:color w:val="auto"/>
          <w:spacing w:val="4"/>
          <w:sz w:val="32"/>
          <w:szCs w:val="32"/>
          <w:lang w:eastAsia="zh-CN"/>
        </w:rPr>
        <w:t>~</w:t>
      </w:r>
      <w:r>
        <w:rPr>
          <w:rFonts w:hint="eastAsia" w:ascii="仿宋_GB2312" w:hAnsi="仿宋_GB2312" w:eastAsia="仿宋_GB2312" w:cs="仿宋_GB2312"/>
          <w:i w:val="0"/>
          <w:iCs w:val="0"/>
          <w:caps w:val="0"/>
          <w:color w:val="auto"/>
          <w:spacing w:val="0"/>
          <w:sz w:val="32"/>
          <w:szCs w:val="32"/>
          <w:shd w:val="clear" w:fill="FFFFFF"/>
        </w:rPr>
        <w:t>2023年，湘潭市中心医院双向转诊的脑卒中患者占比高达17.12%，</w:t>
      </w:r>
      <w:r>
        <w:rPr>
          <w:rFonts w:hint="eastAsia" w:ascii="仿宋_GB2312" w:hAnsi="仿宋_GB2312" w:eastAsia="仿宋_GB2312" w:cs="仿宋_GB2312"/>
          <w:i w:val="0"/>
          <w:iCs w:val="0"/>
          <w:caps w:val="0"/>
          <w:color w:val="auto"/>
          <w:spacing w:val="0"/>
          <w:sz w:val="32"/>
          <w:szCs w:val="32"/>
          <w:shd w:val="clear" w:fill="FFFFFF"/>
          <w:lang w:val="en-US" w:eastAsia="zh-CN"/>
        </w:rPr>
        <w:t>在</w:t>
      </w:r>
      <w:r>
        <w:rPr>
          <w:rFonts w:hint="eastAsia" w:ascii="仿宋_GB2312" w:hAnsi="仿宋_GB2312" w:eastAsia="仿宋_GB2312" w:cs="仿宋_GB2312"/>
          <w:i w:val="0"/>
          <w:iCs w:val="0"/>
          <w:caps w:val="0"/>
          <w:color w:val="auto"/>
          <w:spacing w:val="0"/>
          <w:sz w:val="32"/>
          <w:szCs w:val="32"/>
          <w:shd w:val="clear" w:fill="FFFFFF"/>
        </w:rPr>
        <w:t>危重症脑卒中患者</w:t>
      </w:r>
      <w:r>
        <w:rPr>
          <w:rFonts w:hint="eastAsia" w:ascii="仿宋_GB2312" w:hAnsi="仿宋_GB2312" w:eastAsia="仿宋_GB2312" w:cs="仿宋_GB2312"/>
          <w:i w:val="0"/>
          <w:iCs w:val="0"/>
          <w:caps w:val="0"/>
          <w:color w:val="auto"/>
          <w:spacing w:val="0"/>
          <w:sz w:val="32"/>
          <w:szCs w:val="32"/>
          <w:shd w:val="clear" w:fill="FFFFFF"/>
          <w:lang w:val="en-US" w:eastAsia="zh-CN"/>
        </w:rPr>
        <w:t>的转运方面具有丰富的实践经验。</w:t>
      </w:r>
    </w:p>
    <w:p w14:paraId="496F695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color w:val="auto"/>
          <w:sz w:val="32"/>
          <w:szCs w:val="32"/>
        </w:rPr>
      </w:pP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2</w:t>
      </w: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rPr>
        <w:t>专家支持</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该标准的制定团队成员来自</w:t>
      </w:r>
      <w:r>
        <w:rPr>
          <w:rFonts w:hint="eastAsia" w:ascii="仿宋_GB2312" w:hAnsi="仿宋_GB2312" w:eastAsia="仿宋_GB2312" w:cs="仿宋_GB2312"/>
          <w:i w:val="0"/>
          <w:iCs w:val="0"/>
          <w:caps w:val="0"/>
          <w:color w:val="auto"/>
          <w:spacing w:val="0"/>
          <w:sz w:val="32"/>
          <w:szCs w:val="32"/>
          <w:shd w:val="clear" w:fill="FFFFFF"/>
        </w:rPr>
        <w:t>湘潭市中心医院、湘潭市护理学会、湘潭市第一人民医院、湘潭市第二人民医院、岳塘街道社区卫生服务中心、湘乡市人民医院、湘潭医卫职业技术学院等不同层级医院、护理学会及科研院校的资深专家参与</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充分考虑不同层级医院的转运现状，结合本土实际，制定符合我市特点的转运规范，确保规范的科学性和适用性。</w:t>
      </w:r>
    </w:p>
    <w:p w14:paraId="5DC10F0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3</w:t>
      </w: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rPr>
        <w:t>政策支持</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该标准的制定</w:t>
      </w:r>
      <w:r>
        <w:rPr>
          <w:rFonts w:hint="eastAsia" w:ascii="仿宋_GB2312" w:hAnsi="仿宋_GB2312" w:eastAsia="仿宋_GB2312" w:cs="仿宋_GB2312"/>
          <w:i w:val="0"/>
          <w:iCs w:val="0"/>
          <w:caps w:val="0"/>
          <w:color w:val="auto"/>
          <w:spacing w:val="0"/>
          <w:sz w:val="32"/>
          <w:szCs w:val="32"/>
          <w:shd w:val="clear" w:fill="FFFFFF"/>
        </w:rPr>
        <w:t>符合《国家标准化发展纲要》</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《湘潭市地方标准管理办法》要求</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湘潭市卫生健康委员会积极落实湘潭市市场监督管理局关于2024</w:t>
      </w:r>
      <w:r>
        <w:rPr>
          <w:rFonts w:hint="eastAsia" w:ascii="仿宋_GB2312" w:hAnsi="仿宋_GB2312" w:eastAsia="仿宋_GB2312" w:cs="仿宋_GB2312"/>
          <w:i w:val="0"/>
          <w:iCs w:val="0"/>
          <w:caps w:val="0"/>
          <w:color w:val="auto"/>
          <w:spacing w:val="0"/>
          <w:sz w:val="32"/>
          <w:szCs w:val="32"/>
          <w:shd w:val="clear" w:fill="FFFFFF"/>
          <w:lang w:val="en-US" w:eastAsia="zh-CN"/>
        </w:rPr>
        <w:t>年</w:t>
      </w:r>
      <w:r>
        <w:rPr>
          <w:rFonts w:hint="eastAsia" w:ascii="仿宋_GB2312" w:hAnsi="仿宋_GB2312" w:eastAsia="仿宋_GB2312" w:cs="仿宋_GB2312"/>
          <w:i w:val="0"/>
          <w:iCs w:val="0"/>
          <w:caps w:val="0"/>
          <w:color w:val="auto"/>
          <w:spacing w:val="0"/>
          <w:sz w:val="32"/>
          <w:szCs w:val="32"/>
          <w:shd w:val="clear" w:fill="FFFFFF"/>
        </w:rPr>
        <w:t>湘潭市地方标准制定项目计划征集工作，制定标准修订任务清单，湘潭市中心医院积极响应并筹备标准立项工作。</w:t>
      </w:r>
    </w:p>
    <w:p w14:paraId="29F4E63D">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59"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pacing w:val="4"/>
          <w:sz w:val="32"/>
          <w:szCs w:val="32"/>
          <w:lang w:val="en-US" w:eastAsia="zh-CN"/>
        </w:rPr>
        <w:t>4、预期经济社会效益：</w:t>
      </w:r>
    </w:p>
    <w:p w14:paraId="689BA62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color w:val="auto"/>
          <w:sz w:val="32"/>
          <w:szCs w:val="32"/>
          <w:lang w:eastAsia="zh-CN"/>
        </w:rPr>
      </w:pP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1</w:t>
      </w: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rPr>
        <w:t>社会效益</w:t>
      </w:r>
      <w:r>
        <w:rPr>
          <w:rFonts w:hint="eastAsia" w:ascii="仿宋_GB2312" w:hAnsi="仿宋_GB2312" w:eastAsia="仿宋_GB2312" w:cs="仿宋_GB2312"/>
          <w:i w:val="0"/>
          <w:iCs w:val="0"/>
          <w:caps w:val="0"/>
          <w:color w:val="auto"/>
          <w:spacing w:val="0"/>
          <w:sz w:val="32"/>
          <w:szCs w:val="32"/>
          <w:shd w:val="clear" w:fill="FFFFFF"/>
        </w:rPr>
        <w:t>：通过规范转运流程，降低转运不良事件发生率</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提高患者舒适度</w:t>
      </w:r>
      <w:r>
        <w:rPr>
          <w:rFonts w:hint="eastAsia" w:ascii="仿宋_GB2312" w:hAnsi="仿宋_GB2312" w:eastAsia="仿宋_GB2312" w:cs="仿宋_GB2312"/>
          <w:i w:val="0"/>
          <w:iCs w:val="0"/>
          <w:caps w:val="0"/>
          <w:color w:val="auto"/>
          <w:spacing w:val="0"/>
          <w:sz w:val="32"/>
          <w:szCs w:val="32"/>
          <w:shd w:val="clear" w:fill="FFFFFF"/>
          <w:lang w:val="en-US" w:eastAsia="zh-CN"/>
        </w:rPr>
        <w:t>和满意度</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提升医院竞争力，为医院的可持续发展奠定基础。</w:t>
      </w:r>
    </w:p>
    <w:p w14:paraId="51192A7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2</w:t>
      </w: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rPr>
        <w:t>经济效益</w:t>
      </w:r>
      <w:r>
        <w:rPr>
          <w:rFonts w:hint="eastAsia" w:ascii="仿宋_GB2312" w:hAnsi="仿宋_GB2312" w:eastAsia="仿宋_GB2312" w:cs="仿宋_GB2312"/>
          <w:i w:val="0"/>
          <w:iCs w:val="0"/>
          <w:caps w:val="0"/>
          <w:color w:val="auto"/>
          <w:spacing w:val="0"/>
          <w:sz w:val="32"/>
          <w:szCs w:val="32"/>
          <w:shd w:val="clear" w:fill="FFFFFF"/>
        </w:rPr>
        <w:t>：通过规范转运操作，降低患者在转运过程中发生意外的风险，避免因转运不当导致的二次伤害、延误治疗等额外费用</w:t>
      </w:r>
      <w:r>
        <w:rPr>
          <w:rFonts w:hint="eastAsia" w:ascii="仿宋_GB2312" w:hAnsi="仿宋_GB2312" w:eastAsia="仿宋_GB2312" w:cs="仿宋_GB2312"/>
          <w:i w:val="0"/>
          <w:iCs w:val="0"/>
          <w:caps w:val="0"/>
          <w:color w:val="auto"/>
          <w:spacing w:val="0"/>
          <w:sz w:val="32"/>
          <w:szCs w:val="32"/>
          <w:shd w:val="clear" w:fill="FFFFFF"/>
          <w:lang w:eastAsia="zh-CN"/>
        </w:rPr>
        <w:t>。</w:t>
      </w:r>
    </w:p>
    <w:p w14:paraId="18F1BAF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0" w:firstLineChars="200"/>
        <w:textAlignment w:val="auto"/>
        <w:rPr>
          <w:rStyle w:val="8"/>
          <w:rFonts w:hint="eastAsia" w:ascii="仿宋_GB2312" w:hAnsi="仿宋_GB2312" w:eastAsia="仿宋_GB2312" w:cs="仿宋_GB2312"/>
          <w:b w:val="0"/>
          <w:bCs w:val="0"/>
          <w:i w:val="0"/>
          <w:iCs w:val="0"/>
          <w:caps w:val="0"/>
          <w:color w:val="auto"/>
          <w:spacing w:val="0"/>
          <w:sz w:val="32"/>
          <w:szCs w:val="32"/>
          <w:shd w:val="clear" w:fill="FFFFFF"/>
        </w:rPr>
      </w:pPr>
      <w:r>
        <w:rPr>
          <w:rStyle w:val="8"/>
          <w:rFonts w:hint="eastAsia" w:ascii="仿宋_GB2312" w:hAnsi="仿宋_GB2312" w:eastAsia="仿宋_GB2312" w:cs="仿宋_GB2312"/>
          <w:b w:val="0"/>
          <w:bCs w:val="0"/>
          <w:i w:val="0"/>
          <w:iCs w:val="0"/>
          <w:caps w:val="0"/>
          <w:color w:val="auto"/>
          <w:spacing w:val="0"/>
          <w:sz w:val="32"/>
          <w:szCs w:val="32"/>
          <w:shd w:val="clear" w:fill="FFFFFF"/>
        </w:rPr>
        <w:t>二、任务来源</w:t>
      </w:r>
    </w:p>
    <w:p w14:paraId="7FEB9C6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0" w:firstLineChars="200"/>
        <w:textAlignment w:val="auto"/>
        <w:rPr>
          <w:rStyle w:val="8"/>
          <w:rFonts w:hint="eastAsia" w:ascii="仿宋_GB2312" w:hAnsi="仿宋_GB2312" w:eastAsia="仿宋_GB2312" w:cs="仿宋_GB2312"/>
          <w:b w:val="0"/>
          <w:bCs w:val="0"/>
          <w:i w:val="0"/>
          <w:iCs w:val="0"/>
          <w:caps w:val="0"/>
          <w:color w:val="auto"/>
          <w:spacing w:val="0"/>
          <w:sz w:val="32"/>
          <w:szCs w:val="32"/>
          <w:shd w:val="clear" w:fill="FFFFFF"/>
        </w:rPr>
      </w:pPr>
      <w:r>
        <w:rPr>
          <w:rStyle w:val="8"/>
          <w:rFonts w:hint="eastAsia" w:ascii="仿宋_GB2312" w:hAnsi="仿宋_GB2312" w:eastAsia="仿宋_GB2312" w:cs="仿宋_GB2312"/>
          <w:b w:val="0"/>
          <w:bCs w:val="0"/>
          <w:i w:val="0"/>
          <w:iCs w:val="0"/>
          <w:caps w:val="0"/>
          <w:color w:val="auto"/>
          <w:spacing w:val="0"/>
          <w:sz w:val="32"/>
          <w:szCs w:val="32"/>
          <w:shd w:val="clear" w:fill="FFFFFF"/>
        </w:rPr>
        <w:t>本项目根据《湘潭市地方标准管理办法》及湘潭市市场监督管理局《关于征集2024年湘潭市地方标准制订项目计划的通知》要求，由湘潭市中心医院牵头申报，联合湘潭市护理学会、湘潭市第一人民医院等多家单位共同编制，经湖南省市场监督管理局批准立项。</w:t>
      </w:r>
    </w:p>
    <w:p w14:paraId="57EA5D3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0" w:firstLineChars="200"/>
        <w:textAlignment w:val="auto"/>
        <w:rPr>
          <w:rFonts w:hint="eastAsia" w:ascii="仿宋_GB2312" w:hAnsi="仿宋_GB2312" w:eastAsia="仿宋_GB2312" w:cs="仿宋_GB2312"/>
          <w:color w:val="auto"/>
          <w:sz w:val="32"/>
          <w:szCs w:val="32"/>
        </w:rPr>
      </w:pPr>
      <w:r>
        <w:rPr>
          <w:rStyle w:val="8"/>
          <w:rFonts w:hint="eastAsia" w:ascii="仿宋_GB2312" w:hAnsi="仿宋_GB2312" w:eastAsia="仿宋_GB2312" w:cs="仿宋_GB2312"/>
          <w:b w:val="0"/>
          <w:bCs w:val="0"/>
          <w:i w:val="0"/>
          <w:iCs w:val="0"/>
          <w:caps w:val="0"/>
          <w:color w:val="auto"/>
          <w:spacing w:val="0"/>
          <w:sz w:val="32"/>
          <w:szCs w:val="32"/>
          <w:shd w:val="clear" w:fill="FFFFFF"/>
        </w:rPr>
        <w:t>三、编制过程</w:t>
      </w:r>
    </w:p>
    <w:p w14:paraId="32030BA6">
      <w:pPr>
        <w:keepNext w:val="0"/>
        <w:keepLines w:val="0"/>
        <w:pageBreakBefore w:val="0"/>
        <w:widowControl/>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color w:val="auto"/>
          <w:sz w:val="32"/>
          <w:szCs w:val="32"/>
          <w:lang w:eastAsia="zh-CN"/>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1、</w:t>
      </w:r>
      <w:r>
        <w:rPr>
          <w:rStyle w:val="8"/>
          <w:rFonts w:hint="eastAsia" w:ascii="仿宋_GB2312" w:hAnsi="仿宋_GB2312" w:eastAsia="仿宋_GB2312" w:cs="仿宋_GB2312"/>
          <w:b/>
          <w:bCs/>
          <w:i w:val="0"/>
          <w:iCs w:val="0"/>
          <w:caps w:val="0"/>
          <w:color w:val="auto"/>
          <w:spacing w:val="0"/>
          <w:sz w:val="32"/>
          <w:szCs w:val="32"/>
          <w:shd w:val="clear" w:fill="FFFFFF"/>
        </w:rPr>
        <w:t>前期调研（2023年6-9月）</w:t>
      </w:r>
      <w:r>
        <w:rPr>
          <w:rFonts w:hint="eastAsia" w:ascii="仿宋_GB2312" w:hAnsi="仿宋_GB2312" w:eastAsia="仿宋_GB2312" w:cs="仿宋_GB2312"/>
          <w:i w:val="0"/>
          <w:iCs w:val="0"/>
          <w:caps w:val="0"/>
          <w:color w:val="auto"/>
          <w:spacing w:val="0"/>
          <w:sz w:val="32"/>
          <w:szCs w:val="32"/>
          <w:shd w:val="clear" w:fill="FFFFFF"/>
        </w:rPr>
        <w:t>：回顾性分析</w:t>
      </w:r>
      <w:r>
        <w:rPr>
          <w:rFonts w:hint="eastAsia" w:ascii="仿宋_GB2312" w:hAnsi="仿宋_GB2312" w:eastAsia="仿宋_GB2312" w:cs="仿宋_GB2312"/>
          <w:color w:val="auto"/>
          <w:sz w:val="32"/>
          <w:szCs w:val="32"/>
        </w:rPr>
        <w:t>湘潭市中心医院2023年6月至2023年9月期间</w:t>
      </w:r>
      <w:r>
        <w:rPr>
          <w:rFonts w:hint="eastAsia" w:ascii="仿宋_GB2312" w:hAnsi="仿宋_GB2312" w:eastAsia="仿宋_GB2312" w:cs="仿宋_GB2312"/>
          <w:color w:val="auto"/>
          <w:sz w:val="32"/>
          <w:szCs w:val="32"/>
          <w:lang w:val="en-US" w:eastAsia="zh-CN"/>
        </w:rPr>
        <w:t>共计</w:t>
      </w:r>
      <w:r>
        <w:rPr>
          <w:rFonts w:hint="eastAsia" w:ascii="仿宋_GB2312" w:hAnsi="仿宋_GB2312" w:eastAsia="仿宋_GB2312" w:cs="仿宋_GB2312"/>
          <w:i w:val="0"/>
          <w:iCs w:val="0"/>
          <w:caps w:val="0"/>
          <w:color w:val="auto"/>
          <w:spacing w:val="0"/>
          <w:sz w:val="32"/>
          <w:szCs w:val="32"/>
          <w:shd w:val="clear" w:fill="FFFFFF"/>
        </w:rPr>
        <w:t>255例转运案例，</w:t>
      </w:r>
      <w:r>
        <w:rPr>
          <w:rFonts w:hint="eastAsia" w:ascii="仿宋_GB2312" w:hAnsi="仿宋_GB2312" w:eastAsia="仿宋_GB2312" w:cs="仿宋_GB2312"/>
          <w:color w:val="auto"/>
          <w:sz w:val="32"/>
          <w:szCs w:val="32"/>
          <w:lang w:val="en-US" w:eastAsia="zh-CN"/>
        </w:rPr>
        <w:t>经统计分析</w:t>
      </w:r>
      <w:r>
        <w:rPr>
          <w:rFonts w:hint="eastAsia" w:ascii="仿宋_GB2312" w:hAnsi="仿宋_GB2312" w:eastAsia="仿宋_GB2312" w:cs="仿宋_GB2312"/>
          <w:color w:val="auto"/>
          <w:sz w:val="32"/>
          <w:szCs w:val="32"/>
        </w:rPr>
        <w:t>，转运不良事件发生率为23.9%，主要问题集中在管道打折、氧管脱落、病情变化、输液管路脱落及转运后导管未开放等方面。同时，通过</w:t>
      </w:r>
      <w:r>
        <w:rPr>
          <w:rFonts w:hint="eastAsia" w:ascii="仿宋_GB2312" w:hAnsi="仿宋_GB2312" w:eastAsia="仿宋_GB2312" w:cs="仿宋_GB2312"/>
          <w:color w:val="auto"/>
          <w:sz w:val="32"/>
          <w:szCs w:val="32"/>
          <w:lang w:val="en-US" w:eastAsia="zh-CN"/>
        </w:rPr>
        <w:t>发放“湘潭地区脑</w:t>
      </w:r>
      <w:r>
        <w:rPr>
          <w:rFonts w:hint="eastAsia" w:ascii="仿宋_GB2312" w:hAnsi="仿宋_GB2312" w:eastAsia="仿宋_GB2312" w:cs="仿宋_GB2312"/>
          <w:color w:val="auto"/>
          <w:sz w:val="32"/>
          <w:szCs w:val="32"/>
        </w:rPr>
        <w:t>危重症和活动受限的脑卒中患者</w:t>
      </w:r>
      <w:r>
        <w:rPr>
          <w:rFonts w:hint="eastAsia" w:ascii="仿宋_GB2312" w:hAnsi="仿宋_GB2312" w:eastAsia="仿宋_GB2312" w:cs="仿宋_GB2312"/>
          <w:color w:val="auto"/>
          <w:sz w:val="32"/>
          <w:szCs w:val="32"/>
          <w:lang w:val="en-US" w:eastAsia="zh-CN"/>
        </w:rPr>
        <w:t>转运知识”</w:t>
      </w:r>
      <w:r>
        <w:rPr>
          <w:rFonts w:hint="eastAsia" w:ascii="仿宋_GB2312" w:hAnsi="仿宋_GB2312" w:eastAsia="仿宋_GB2312" w:cs="仿宋_GB2312"/>
          <w:color w:val="auto"/>
          <w:sz w:val="32"/>
          <w:szCs w:val="32"/>
        </w:rPr>
        <w:t>问卷调查发现，医护人员对转运安全的知晓率</w:t>
      </w:r>
      <w:r>
        <w:rPr>
          <w:rFonts w:hint="eastAsia" w:ascii="仿宋_GB2312" w:hAnsi="仿宋_GB2312" w:eastAsia="仿宋_GB2312" w:cs="仿宋_GB2312"/>
          <w:color w:val="auto"/>
          <w:sz w:val="32"/>
          <w:szCs w:val="32"/>
          <w:lang w:val="en-US" w:eastAsia="zh-CN"/>
        </w:rPr>
        <w:t>仅</w:t>
      </w:r>
      <w:r>
        <w:rPr>
          <w:rFonts w:hint="eastAsia" w:ascii="仿宋_GB2312" w:hAnsi="仿宋_GB2312" w:eastAsia="仿宋_GB2312" w:cs="仿宋_GB2312"/>
          <w:color w:val="auto"/>
          <w:sz w:val="32"/>
          <w:szCs w:val="32"/>
        </w:rPr>
        <w:t>为78.5</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w:t>
      </w:r>
    </w:p>
    <w:p w14:paraId="5D04B33C">
      <w:pPr>
        <w:keepNext w:val="0"/>
        <w:keepLines w:val="0"/>
        <w:pageBreakBefore w:val="0"/>
        <w:widowControl/>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2、组建起草组（2023年9月）：</w:t>
      </w:r>
      <w:r>
        <w:rPr>
          <w:rFonts w:hint="eastAsia" w:ascii="仿宋_GB2312" w:hAnsi="仿宋_GB2312" w:eastAsia="仿宋_GB2312" w:cs="仿宋_GB2312"/>
          <w:color w:val="auto"/>
          <w:sz w:val="32"/>
          <w:szCs w:val="32"/>
          <w:lang w:val="en-US" w:eastAsia="zh-CN"/>
        </w:rPr>
        <w:t>组建以湘潭市中心医院为牵头单位，湘潭市护理学会、湘潭市第一人民医院、湘潭市第二人民医院、岳塘街道社区卫生服务中心、湘乡市人民医院、湘潭医卫职业技术学院等医疗、教学机构参与，涵盖护理部、神经内科、急诊科、重症医学科、院前急救科、院感科、医疗质量管理部门等多学科专家组成的标准起草项目组。。</w:t>
      </w:r>
    </w:p>
    <w:p w14:paraId="6409000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color w:val="auto"/>
          <w:sz w:val="32"/>
          <w:szCs w:val="32"/>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3、</w:t>
      </w:r>
      <w:r>
        <w:rPr>
          <w:rStyle w:val="8"/>
          <w:rFonts w:hint="eastAsia" w:ascii="仿宋_GB2312" w:hAnsi="仿宋_GB2312" w:eastAsia="仿宋_GB2312" w:cs="仿宋_GB2312"/>
          <w:b/>
          <w:bCs/>
          <w:i w:val="0"/>
          <w:iCs w:val="0"/>
          <w:caps w:val="0"/>
          <w:color w:val="auto"/>
          <w:spacing w:val="0"/>
          <w:sz w:val="32"/>
          <w:szCs w:val="32"/>
          <w:shd w:val="clear" w:fill="FFFFFF"/>
        </w:rPr>
        <w:t>草案构建（2023年10月）</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color w:val="auto"/>
          <w:spacing w:val="4"/>
          <w:sz w:val="32"/>
          <w:szCs w:val="32"/>
          <w:lang w:val="en-US" w:eastAsia="zh-CN"/>
        </w:rPr>
        <w:t>前期项目组</w:t>
      </w:r>
      <w:r>
        <w:rPr>
          <w:rFonts w:hint="eastAsia" w:ascii="仿宋_GB2312" w:hAnsi="仿宋_GB2312" w:eastAsia="仿宋_GB2312" w:cs="仿宋_GB2312"/>
          <w:i w:val="0"/>
          <w:iCs w:val="0"/>
          <w:caps w:val="0"/>
          <w:color w:val="auto"/>
          <w:spacing w:val="0"/>
          <w:sz w:val="32"/>
          <w:szCs w:val="32"/>
          <w:shd w:val="clear" w:fill="FFFFFF"/>
        </w:rPr>
        <w:t>通过搜索万方、知网、维普、中国生物医学文献数据库（CBM）等中文数据库，PubMed、Embase、Cochrane Library、Web of Science、OVID等英文数据库，</w:t>
      </w:r>
      <w:r>
        <w:rPr>
          <w:rFonts w:hint="eastAsia" w:ascii="仿宋_GB2312" w:hAnsi="仿宋_GB2312" w:eastAsia="仿宋_GB2312" w:cs="仿宋_GB2312"/>
          <w:color w:val="auto"/>
          <w:spacing w:val="4"/>
          <w:sz w:val="32"/>
          <w:szCs w:val="32"/>
          <w:lang w:eastAsia="zh-CN"/>
        </w:rPr>
        <w:t>NICE、SIGN、NZGG、GIN、医脉通</w:t>
      </w:r>
      <w:r>
        <w:rPr>
          <w:rFonts w:hint="eastAsia" w:ascii="仿宋_GB2312" w:hAnsi="仿宋_GB2312" w:eastAsia="仿宋_GB2312" w:cs="仿宋_GB2312"/>
          <w:color w:val="auto"/>
          <w:spacing w:val="4"/>
          <w:sz w:val="32"/>
          <w:szCs w:val="32"/>
          <w:lang w:val="en-US" w:eastAsia="zh-CN"/>
        </w:rPr>
        <w:t>等</w:t>
      </w:r>
      <w:r>
        <w:rPr>
          <w:rFonts w:hint="eastAsia" w:ascii="仿宋_GB2312" w:hAnsi="仿宋_GB2312" w:eastAsia="仿宋_GB2312" w:cs="仿宋_GB2312"/>
          <w:color w:val="auto"/>
          <w:spacing w:val="4"/>
          <w:sz w:val="32"/>
          <w:szCs w:val="32"/>
          <w:lang w:eastAsia="zh-CN"/>
        </w:rPr>
        <w:t>指南网，</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全国标准信息公共服务平</w:t>
      </w:r>
      <w:r>
        <w:rPr>
          <w:rFonts w:hint="eastAsia" w:ascii="仿宋_GB2312" w:hAnsi="仿宋_GB2312" w:eastAsia="仿宋_GB2312" w:cs="仿宋_GB2312"/>
          <w:i w:val="0"/>
          <w:iCs w:val="0"/>
          <w:caps w:val="0"/>
          <w:color w:val="auto"/>
          <w:spacing w:val="0"/>
          <w:sz w:val="32"/>
          <w:szCs w:val="32"/>
          <w:shd w:val="clear" w:fill="FFFFFF"/>
        </w:rPr>
        <w:t>台、湖南省团体标准信息公共服务平台、中华护理学会等标准平台，筛选</w:t>
      </w:r>
      <w:r>
        <w:rPr>
          <w:rFonts w:hint="eastAsia" w:ascii="仿宋_GB2312" w:hAnsi="仿宋_GB2312" w:eastAsia="仿宋_GB2312" w:cs="仿宋_GB2312"/>
          <w:i w:val="0"/>
          <w:iCs w:val="0"/>
          <w:caps w:val="0"/>
          <w:color w:val="auto"/>
          <w:spacing w:val="0"/>
          <w:sz w:val="32"/>
          <w:szCs w:val="32"/>
          <w:shd w:val="clear" w:fill="FFFFFF"/>
          <w:lang w:val="en-US" w:eastAsia="zh-CN"/>
        </w:rPr>
        <w:t>相关</w:t>
      </w:r>
      <w:r>
        <w:rPr>
          <w:rFonts w:hint="eastAsia" w:ascii="仿宋_GB2312" w:hAnsi="仿宋_GB2312" w:eastAsia="仿宋_GB2312" w:cs="仿宋_GB2312"/>
          <w:i w:val="0"/>
          <w:iCs w:val="0"/>
          <w:caps w:val="0"/>
          <w:color w:val="auto"/>
          <w:spacing w:val="0"/>
          <w:sz w:val="32"/>
          <w:szCs w:val="32"/>
          <w:shd w:val="clear" w:fill="FFFFFF"/>
        </w:rPr>
        <w:t>研究论文、系统评价/Meta分析、临床指南、专家共识等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color w:val="auto"/>
          <w:spacing w:val="4"/>
          <w:sz w:val="32"/>
          <w:szCs w:val="32"/>
          <w:lang w:val="en-US" w:eastAsia="zh-CN"/>
        </w:rPr>
        <w:t>同时结合调查问卷</w:t>
      </w:r>
      <w:r>
        <w:rPr>
          <w:rFonts w:hint="eastAsia" w:ascii="仿宋_GB2312" w:hAnsi="仿宋_GB2312" w:eastAsia="仿宋_GB2312" w:cs="仿宋_GB2312"/>
          <w:color w:val="auto"/>
          <w:sz w:val="32"/>
          <w:szCs w:val="32"/>
          <w:lang w:val="en-US" w:eastAsia="zh-CN"/>
        </w:rPr>
        <w:t>，采用</w:t>
      </w:r>
      <w:r>
        <w:rPr>
          <w:rFonts w:hint="eastAsia" w:ascii="仿宋_GB2312" w:hAnsi="仿宋_GB2312" w:eastAsia="仿宋_GB2312" w:cs="仿宋_GB2312"/>
          <w:color w:val="auto"/>
          <w:sz w:val="32"/>
          <w:szCs w:val="32"/>
        </w:rPr>
        <w:t>德</w:t>
      </w:r>
      <w:r>
        <w:rPr>
          <w:rFonts w:hint="eastAsia" w:ascii="仿宋_GB2312" w:hAnsi="仿宋_GB2312" w:eastAsia="仿宋_GB2312" w:cs="仿宋_GB2312"/>
          <w:color w:val="auto"/>
          <w:sz w:val="32"/>
          <w:szCs w:val="32"/>
          <w:lang w:val="en-US" w:eastAsia="zh-CN"/>
        </w:rPr>
        <w:t>尔</w:t>
      </w:r>
      <w:r>
        <w:rPr>
          <w:rFonts w:hint="eastAsia" w:ascii="仿宋_GB2312" w:hAnsi="仿宋_GB2312" w:eastAsia="仿宋_GB2312" w:cs="仿宋_GB2312"/>
          <w:color w:val="auto"/>
          <w:sz w:val="32"/>
          <w:szCs w:val="32"/>
        </w:rPr>
        <w:t>菲</w:t>
      </w:r>
      <w:r>
        <w:rPr>
          <w:rFonts w:hint="eastAsia" w:ascii="仿宋_GB2312" w:hAnsi="仿宋_GB2312" w:eastAsia="仿宋_GB2312" w:cs="仿宋_GB2312"/>
          <w:color w:val="auto"/>
          <w:sz w:val="32"/>
          <w:szCs w:val="32"/>
          <w:lang w:val="en-US" w:eastAsia="zh-CN"/>
        </w:rPr>
        <w:t>法</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经10名来自不同领域的专家函询，</w:t>
      </w:r>
      <w:r>
        <w:rPr>
          <w:rFonts w:hint="eastAsia" w:ascii="仿宋_GB2312" w:hAnsi="仿宋_GB2312" w:eastAsia="仿宋_GB2312" w:cs="仿宋_GB2312"/>
          <w:color w:val="auto"/>
          <w:spacing w:val="4"/>
          <w:sz w:val="32"/>
          <w:szCs w:val="32"/>
          <w:lang w:val="en-US" w:eastAsia="zh-CN"/>
        </w:rPr>
        <w:t>初步构建</w:t>
      </w:r>
      <w:r>
        <w:rPr>
          <w:rFonts w:hint="eastAsia" w:ascii="仿宋_GB2312" w:hAnsi="仿宋_GB2312" w:eastAsia="仿宋_GB2312" w:cs="仿宋_GB2312"/>
          <w:color w:val="auto"/>
          <w:sz w:val="32"/>
          <w:szCs w:val="32"/>
        </w:rPr>
        <w:t>危重症和活动受限的脑卒中患者</w:t>
      </w:r>
      <w:r>
        <w:rPr>
          <w:rFonts w:hint="eastAsia" w:ascii="仿宋_GB2312" w:hAnsi="仿宋_GB2312" w:eastAsia="仿宋_GB2312" w:cs="仿宋_GB2312"/>
          <w:color w:val="auto"/>
          <w:sz w:val="32"/>
          <w:szCs w:val="32"/>
          <w:lang w:val="en-US" w:eastAsia="zh-CN"/>
        </w:rPr>
        <w:t>转运规范草案</w:t>
      </w:r>
      <w:r>
        <w:rPr>
          <w:rFonts w:hint="eastAsia" w:ascii="仿宋_GB2312" w:hAnsi="仿宋_GB2312" w:eastAsia="仿宋_GB2312" w:cs="仿宋_GB2312"/>
          <w:color w:val="auto"/>
          <w:sz w:val="32"/>
          <w:szCs w:val="32"/>
        </w:rPr>
        <w:t>。</w:t>
      </w:r>
    </w:p>
    <w:p w14:paraId="39F1111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color w:val="auto"/>
          <w:sz w:val="32"/>
          <w:szCs w:val="32"/>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3、</w:t>
      </w:r>
      <w:r>
        <w:rPr>
          <w:rStyle w:val="8"/>
          <w:rFonts w:hint="eastAsia" w:ascii="仿宋_GB2312" w:hAnsi="仿宋_GB2312" w:eastAsia="仿宋_GB2312" w:cs="仿宋_GB2312"/>
          <w:b/>
          <w:bCs/>
          <w:i w:val="0"/>
          <w:iCs w:val="0"/>
          <w:caps w:val="0"/>
          <w:color w:val="auto"/>
          <w:spacing w:val="0"/>
          <w:sz w:val="32"/>
          <w:szCs w:val="32"/>
          <w:shd w:val="clear" w:fill="FFFFFF"/>
        </w:rPr>
        <w:t>临床验证（2023年11月-2024年3月）</w:t>
      </w:r>
      <w:r>
        <w:rPr>
          <w:rFonts w:hint="eastAsia" w:ascii="仿宋_GB2312" w:hAnsi="仿宋_GB2312" w:eastAsia="仿宋_GB2312" w:cs="仿宋_GB2312"/>
          <w:i w:val="0"/>
          <w:iCs w:val="0"/>
          <w:caps w:val="0"/>
          <w:color w:val="auto"/>
          <w:spacing w:val="0"/>
          <w:sz w:val="32"/>
          <w:szCs w:val="32"/>
          <w:shd w:val="clear" w:fill="FFFFFF"/>
        </w:rPr>
        <w:t>：</w:t>
      </w:r>
    </w:p>
    <w:p w14:paraId="689DC18E">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（1）培训</w:t>
      </w:r>
    </w:p>
    <w:p w14:paraId="59755EF6">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val="en-US" w:eastAsia="zh-CN"/>
        </w:rPr>
        <w:t>湘潭市中心医院</w:t>
      </w:r>
      <w:r>
        <w:rPr>
          <w:rFonts w:hint="eastAsia" w:ascii="仿宋_GB2312" w:hAnsi="仿宋_GB2312" w:eastAsia="仿宋_GB2312" w:cs="仿宋_GB2312"/>
          <w:color w:val="auto"/>
          <w:sz w:val="32"/>
          <w:szCs w:val="32"/>
        </w:rPr>
        <w:t>全院范围内开展了针对该规范的培训</w:t>
      </w:r>
      <w:r>
        <w:rPr>
          <w:rFonts w:hint="eastAsia" w:ascii="仿宋_GB2312" w:hAnsi="仿宋_GB2312" w:eastAsia="仿宋_GB2312" w:cs="仿宋_GB2312"/>
          <w:color w:val="auto"/>
          <w:sz w:val="32"/>
          <w:szCs w:val="32"/>
          <w:lang w:val="en-US" w:eastAsia="zh-CN"/>
        </w:rPr>
        <w:t>并与</w:t>
      </w:r>
      <w:r>
        <w:rPr>
          <w:rFonts w:hint="eastAsia" w:ascii="仿宋_GB2312" w:hAnsi="仿宋_GB2312" w:eastAsia="仿宋_GB2312" w:cs="仿宋_GB2312"/>
          <w:color w:val="auto"/>
          <w:sz w:val="32"/>
          <w:szCs w:val="32"/>
        </w:rPr>
        <w:t>推广，确保每一位参与转运的医护人员都能充分</w:t>
      </w:r>
      <w:r>
        <w:rPr>
          <w:rFonts w:hint="eastAsia" w:ascii="仿宋_GB2312" w:hAnsi="仿宋_GB2312" w:eastAsia="仿宋_GB2312" w:cs="仿宋_GB2312"/>
          <w:color w:val="auto"/>
          <w:sz w:val="32"/>
          <w:szCs w:val="32"/>
          <w:lang w:val="en-US" w:eastAsia="zh-CN"/>
        </w:rPr>
        <w:t>掌握</w:t>
      </w:r>
      <w:r>
        <w:rPr>
          <w:rFonts w:hint="eastAsia" w:ascii="仿宋_GB2312" w:hAnsi="仿宋_GB2312" w:eastAsia="仿宋_GB2312" w:cs="仿宋_GB2312"/>
          <w:color w:val="auto"/>
          <w:sz w:val="32"/>
          <w:szCs w:val="32"/>
        </w:rPr>
        <w:t>理解。</w:t>
      </w:r>
    </w:p>
    <w:p w14:paraId="6B9AAB10">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（2）应用</w:t>
      </w:r>
    </w:p>
    <w:p w14:paraId="16D14A33">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经过统一培训后，各临床科室于2023年11月使用</w:t>
      </w:r>
      <w:r>
        <w:rPr>
          <w:rFonts w:hint="eastAsia" w:ascii="仿宋_GB2312" w:hAnsi="仿宋_GB2312" w:eastAsia="仿宋_GB2312" w:cs="仿宋_GB2312"/>
          <w:color w:val="auto"/>
          <w:sz w:val="32"/>
          <w:szCs w:val="32"/>
        </w:rPr>
        <w:t>危重症和活动受限的脑卒中患者</w:t>
      </w:r>
      <w:r>
        <w:rPr>
          <w:rFonts w:hint="eastAsia" w:ascii="仿宋_GB2312" w:hAnsi="仿宋_GB2312" w:eastAsia="仿宋_GB2312" w:cs="仿宋_GB2312"/>
          <w:color w:val="auto"/>
          <w:sz w:val="32"/>
          <w:szCs w:val="32"/>
          <w:lang w:val="en-US" w:eastAsia="zh-CN"/>
        </w:rPr>
        <w:t>转运规范。</w:t>
      </w:r>
      <w:r>
        <w:rPr>
          <w:rFonts w:hint="eastAsia" w:ascii="仿宋_GB2312" w:hAnsi="仿宋_GB2312" w:eastAsia="仿宋_GB2312" w:cs="仿宋_GB2312"/>
          <w:color w:val="auto"/>
          <w:sz w:val="32"/>
          <w:szCs w:val="32"/>
        </w:rPr>
        <w:t>同时，护理部制定</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督查标准，对转运过程进行专项督查，及时发现并</w:t>
      </w:r>
      <w:r>
        <w:rPr>
          <w:rFonts w:hint="eastAsia" w:ascii="仿宋_GB2312" w:hAnsi="仿宋_GB2312" w:eastAsia="仿宋_GB2312" w:cs="仿宋_GB2312"/>
          <w:color w:val="auto"/>
          <w:sz w:val="32"/>
          <w:szCs w:val="32"/>
          <w:lang w:val="en-US" w:eastAsia="zh-CN"/>
        </w:rPr>
        <w:t>整改</w:t>
      </w:r>
      <w:r>
        <w:rPr>
          <w:rFonts w:hint="eastAsia" w:ascii="仿宋_GB2312" w:hAnsi="仿宋_GB2312" w:eastAsia="仿宋_GB2312" w:cs="仿宋_GB2312"/>
          <w:color w:val="auto"/>
          <w:sz w:val="32"/>
          <w:szCs w:val="32"/>
        </w:rPr>
        <w:t>。</w:t>
      </w:r>
    </w:p>
    <w:p w14:paraId="0AF6AC60">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征求意见与完善</w:t>
      </w:r>
    </w:p>
    <w:p w14:paraId="26AFA8D2">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基于</w:t>
      </w:r>
      <w:r>
        <w:rPr>
          <w:rFonts w:hint="eastAsia" w:ascii="仿宋_GB2312" w:hAnsi="仿宋_GB2312" w:eastAsia="仿宋_GB2312" w:cs="仿宋_GB2312"/>
          <w:color w:val="auto"/>
          <w:sz w:val="32"/>
          <w:szCs w:val="32"/>
          <w:lang w:val="en-US" w:eastAsia="zh-CN"/>
        </w:rPr>
        <w:t>试运行</w:t>
      </w:r>
      <w:r>
        <w:rPr>
          <w:rFonts w:hint="eastAsia" w:ascii="仿宋_GB2312" w:hAnsi="仿宋_GB2312" w:eastAsia="仿宋_GB2312" w:cs="仿宋_GB2312"/>
          <w:color w:val="auto"/>
          <w:sz w:val="32"/>
          <w:szCs w:val="32"/>
        </w:rPr>
        <w:t>中的反馈与督查结果，项目组再次组织院内专家及多家</w:t>
      </w:r>
      <w:r>
        <w:rPr>
          <w:rFonts w:hint="eastAsia" w:ascii="仿宋_GB2312" w:hAnsi="仿宋_GB2312" w:eastAsia="仿宋_GB2312" w:cs="仿宋_GB2312"/>
          <w:color w:val="auto"/>
          <w:sz w:val="32"/>
          <w:szCs w:val="32"/>
          <w:lang w:val="en-US" w:eastAsia="zh-CN"/>
        </w:rPr>
        <w:t>不同级别</w:t>
      </w:r>
      <w:r>
        <w:rPr>
          <w:rFonts w:hint="eastAsia" w:ascii="仿宋_GB2312" w:hAnsi="仿宋_GB2312" w:eastAsia="仿宋_GB2312" w:cs="仿宋_GB2312"/>
          <w:color w:val="auto"/>
          <w:sz w:val="32"/>
          <w:szCs w:val="32"/>
        </w:rPr>
        <w:t>医疗机构（湘潭市第一人民医院、湘潭市第二人民医院</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湘乡市人民医院、岳塘社区街道卫生服务中心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湘潭医卫职业技术学院等</w:t>
      </w:r>
      <w:r>
        <w:rPr>
          <w:rFonts w:hint="eastAsia" w:ascii="仿宋_GB2312" w:hAnsi="仿宋_GB2312" w:eastAsia="仿宋_GB2312" w:cs="仿宋_GB2312"/>
          <w:color w:val="auto"/>
          <w:sz w:val="32"/>
          <w:szCs w:val="32"/>
        </w:rPr>
        <w:t>）的专家进行意见征求与讨论，</w:t>
      </w:r>
      <w:r>
        <w:rPr>
          <w:rFonts w:hint="eastAsia" w:ascii="仿宋_GB2312" w:hAnsi="仿宋_GB2312" w:eastAsia="仿宋_GB2312" w:cs="仿宋_GB2312"/>
          <w:color w:val="auto"/>
          <w:sz w:val="32"/>
          <w:szCs w:val="32"/>
          <w:lang w:val="en-US" w:eastAsia="zh-CN"/>
        </w:rPr>
        <w:t>进一步制定符合湘潭市特色的</w:t>
      </w:r>
      <w:r>
        <w:rPr>
          <w:rFonts w:hint="eastAsia" w:ascii="仿宋_GB2312" w:hAnsi="仿宋_GB2312" w:eastAsia="仿宋_GB2312" w:cs="仿宋_GB2312"/>
          <w:color w:val="auto"/>
          <w:sz w:val="32"/>
          <w:szCs w:val="32"/>
        </w:rPr>
        <w:t>危重症和活动受限的脑卒中患者</w:t>
      </w:r>
      <w:r>
        <w:rPr>
          <w:rFonts w:hint="eastAsia" w:ascii="仿宋_GB2312" w:hAnsi="仿宋_GB2312" w:eastAsia="仿宋_GB2312" w:cs="仿宋_GB2312"/>
          <w:color w:val="auto"/>
          <w:sz w:val="32"/>
          <w:szCs w:val="32"/>
          <w:lang w:val="en-US" w:eastAsia="zh-CN"/>
        </w:rPr>
        <w:t>转运规范</w:t>
      </w:r>
      <w:r>
        <w:rPr>
          <w:rFonts w:hint="eastAsia" w:ascii="仿宋_GB2312" w:hAnsi="仿宋_GB2312" w:eastAsia="仿宋_GB2312" w:cs="仿宋_GB2312"/>
          <w:color w:val="auto"/>
          <w:sz w:val="32"/>
          <w:szCs w:val="32"/>
        </w:rPr>
        <w:t>。</w:t>
      </w:r>
    </w:p>
    <w:p w14:paraId="40298D52">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3" w:firstLineChars="200"/>
        <w:textAlignment w:val="auto"/>
        <w:rPr>
          <w:rStyle w:val="8"/>
          <w:rFonts w:hint="eastAsia" w:ascii="仿宋_GB2312" w:hAnsi="仿宋_GB2312" w:eastAsia="仿宋_GB2312" w:cs="仿宋_GB2312"/>
          <w:b/>
          <w:bCs/>
          <w:i w:val="0"/>
          <w:iCs w:val="0"/>
          <w:caps w:val="0"/>
          <w:color w:val="auto"/>
          <w:spacing w:val="0"/>
          <w:sz w:val="32"/>
          <w:szCs w:val="32"/>
          <w:shd w:val="clear" w:fill="FFFFFF"/>
        </w:rPr>
      </w:pPr>
      <w:r>
        <w:rPr>
          <w:rFonts w:hint="eastAsia" w:ascii="仿宋_GB2312" w:hAnsi="仿宋_GB2312" w:eastAsia="仿宋_GB2312" w:cs="仿宋_GB2312"/>
          <w:b/>
          <w:bCs/>
          <w:i w:val="0"/>
          <w:iCs w:val="0"/>
          <w:caps w:val="0"/>
          <w:color w:val="auto"/>
          <w:spacing w:val="0"/>
          <w:sz w:val="32"/>
          <w:szCs w:val="32"/>
          <w:shd w:val="clear" w:fill="FFFFFF"/>
        </w:rPr>
        <w:t>四、</w:t>
      </w:r>
      <w:r>
        <w:rPr>
          <w:rStyle w:val="8"/>
          <w:rFonts w:hint="eastAsia" w:ascii="仿宋_GB2312" w:hAnsi="仿宋_GB2312" w:eastAsia="仿宋_GB2312" w:cs="仿宋_GB2312"/>
          <w:b/>
          <w:bCs/>
          <w:i w:val="0"/>
          <w:iCs w:val="0"/>
          <w:caps w:val="0"/>
          <w:color w:val="auto"/>
          <w:spacing w:val="0"/>
          <w:sz w:val="32"/>
          <w:szCs w:val="32"/>
          <w:shd w:val="clear" w:fill="FFFFFF"/>
        </w:rPr>
        <w:t>主要内容技术指标确立</w:t>
      </w:r>
    </w:p>
    <w:p w14:paraId="531E1409">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3" w:firstLineChars="200"/>
        <w:textAlignment w:val="auto"/>
        <w:rPr>
          <w:rStyle w:val="8"/>
          <w:rFonts w:hint="eastAsia" w:ascii="仿宋_GB2312" w:hAnsi="仿宋_GB2312" w:eastAsia="仿宋_GB2312" w:cs="仿宋_GB2312"/>
          <w:b/>
          <w:bCs/>
          <w:i w:val="0"/>
          <w:iCs w:val="0"/>
          <w:caps w:val="0"/>
          <w:color w:val="auto"/>
          <w:spacing w:val="0"/>
          <w:sz w:val="32"/>
          <w:szCs w:val="32"/>
          <w:shd w:val="clear" w:fill="FFFFFF"/>
          <w:lang w:val="en-US" w:eastAsia="zh-CN"/>
        </w:rPr>
      </w:pP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一</w:t>
      </w:r>
      <w:r>
        <w:rPr>
          <w:rStyle w:val="8"/>
          <w:rFonts w:hint="eastAsia" w:ascii="仿宋_GB2312" w:hAnsi="仿宋_GB2312" w:eastAsia="仿宋_GB2312" w:cs="仿宋_GB2312"/>
          <w:b/>
          <w:bCs/>
          <w:i w:val="0"/>
          <w:iCs w:val="0"/>
          <w:caps w:val="0"/>
          <w:color w:val="auto"/>
          <w:spacing w:val="0"/>
          <w:sz w:val="32"/>
          <w:szCs w:val="32"/>
          <w:shd w:val="clear" w:fill="FFFFFF"/>
          <w:lang w:eastAsia="zh-CN"/>
        </w:rPr>
        <w:t>）</w:t>
      </w: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确定依据来源</w:t>
      </w:r>
    </w:p>
    <w:p w14:paraId="5C0F2062">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3" w:firstLineChars="200"/>
        <w:textAlignment w:val="auto"/>
        <w:rPr>
          <w:rStyle w:val="8"/>
          <w:rFonts w:hint="eastAsia" w:ascii="仿宋_GB2312" w:hAnsi="仿宋_GB2312" w:eastAsia="仿宋_GB2312" w:cs="仿宋_GB2312"/>
          <w:b/>
          <w:bCs/>
          <w:i w:val="0"/>
          <w:iCs w:val="0"/>
          <w:caps w:val="0"/>
          <w:color w:val="auto"/>
          <w:spacing w:val="0"/>
          <w:sz w:val="32"/>
          <w:szCs w:val="32"/>
          <w:shd w:val="clear" w:fill="FFFFFF"/>
          <w:lang w:val="en-US" w:eastAsia="zh-CN"/>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1、法律法规依据</w:t>
      </w:r>
    </w:p>
    <w:p w14:paraId="7310F895">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《中华人民共和国标准化法》</w:t>
      </w:r>
    </w:p>
    <w:p w14:paraId="666CDBA2">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eastAsia="zh-CN"/>
        </w:rPr>
        <w:t>《湘潭市地方标准管理办法》</w:t>
      </w:r>
    </w:p>
    <w:p w14:paraId="6D9B71E0">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3" w:firstLineChars="200"/>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2、标准依据</w:t>
      </w:r>
    </w:p>
    <w:p w14:paraId="29985266">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GB/T1.1-2020《标准化工作导则：第1部分：标准化文件结构和起草规则》</w:t>
      </w:r>
    </w:p>
    <w:p w14:paraId="771FCD5B">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DNAS 042-2023  危重孕产妇院际安全转运护理规范</w:t>
      </w:r>
    </w:p>
    <w:p w14:paraId="5BD383AC">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RHA 048-2024  院前急救患者转运途中管道固定规范</w:t>
      </w:r>
    </w:p>
    <w:p w14:paraId="2FFF20A0">
      <w:pPr>
        <w:pStyle w:val="9"/>
        <w:keepNext w:val="0"/>
        <w:keepLines w:val="0"/>
        <w:pageBreakBefore w:val="0"/>
        <w:widowControl/>
        <w:numPr>
          <w:ilvl w:val="0"/>
          <w:numId w:val="0"/>
        </w:numPr>
        <w:kinsoku/>
        <w:wordWrap/>
        <w:overflowPunct/>
        <w:topLinePunct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DB14T 3066-2024 住院患者院内转运工作规范</w:t>
      </w:r>
    </w:p>
    <w:p w14:paraId="145E1BC3">
      <w:pPr>
        <w:pStyle w:val="9"/>
        <w:keepNext w:val="0"/>
        <w:keepLines w:val="0"/>
        <w:pageBreakBefore w:val="0"/>
        <w:widowControl/>
        <w:numPr>
          <w:ilvl w:val="0"/>
          <w:numId w:val="0"/>
        </w:numPr>
        <w:kinsoku/>
        <w:wordWrap/>
        <w:overflowPunct/>
        <w:topLinePunct w:val="0"/>
        <w:bidi w:val="0"/>
        <w:adjustRightInd/>
        <w:snapToGrid/>
        <w:spacing w:line="600" w:lineRule="exact"/>
        <w:ind w:left="0" w:leftChars="0" w:firstLine="643" w:firstLineChars="200"/>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bidi="ar-SA"/>
        </w:rPr>
        <w:t>3、</w:t>
      </w:r>
      <w:r>
        <w:rPr>
          <w:rFonts w:hint="eastAsia" w:ascii="仿宋_GB2312" w:hAnsi="仿宋_GB2312" w:eastAsia="仿宋_GB2312" w:cs="仿宋_GB2312"/>
          <w:b/>
          <w:bCs/>
          <w:i w:val="0"/>
          <w:iCs w:val="0"/>
          <w:caps w:val="0"/>
          <w:color w:val="auto"/>
          <w:spacing w:val="0"/>
          <w:sz w:val="32"/>
          <w:szCs w:val="32"/>
          <w:shd w:val="clear" w:fill="FFFFFF"/>
          <w:lang w:val="en-US" w:eastAsia="zh-CN"/>
        </w:rPr>
        <w:t>参考文献</w:t>
      </w:r>
    </w:p>
    <w:p w14:paraId="7FAD9A7D">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[1]桂莉,金静芬,急危重症护理学[M],第5版.北京：人民卫生出版社，2022</w:t>
      </w:r>
    </w:p>
    <w:p w14:paraId="681444E7">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[2]贾建平、陈生弟,神经病学[M],第8版,北京：人民卫生出版社,2019</w:t>
      </w:r>
    </w:p>
    <w:p w14:paraId="5AABDA4C">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[3]中华医学会重症医学分会. 《中国重症患者转运指南(2010)》(草案). 中国危重病急救医学，2010，22(06):328-330. </w:t>
      </w:r>
    </w:p>
    <w:p w14:paraId="644321E3">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[4]Intensive Care Society. Guidelines for the transport of the critically ill adult(2019 edition) [EB/OL]. [2020-05-10]. https://www. ics. ac.uk/ICS/ICS/Guidelines And Standards/ICS Guidelines.aspx.</w:t>
      </w:r>
    </w:p>
    <w:p w14:paraId="4AACCC16">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[5]危重症患者院际转运专家共识组,国家急诊专业质控中心,危重症患者院际转运专家共识. 中华急诊医学杂志，2022，31(01):17-23. </w:t>
      </w:r>
    </w:p>
    <w:p w14:paraId="7B931FA7">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[6]急诊危重症患者院内转运共识专家组,急诊危重症患者院内转运共识——标准化分级转运方案. 中华急诊医学杂志，2017，26(05):512-516. </w:t>
      </w:r>
    </w:p>
    <w:p w14:paraId="79B80CF4">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[7]中华医学会神经病学分会,中华医学会神经病学分会脑血管病学组,中国急性缺血性卒中诊治指南2023. 中华神经科杂志，2024，57(06):523-559.</w:t>
      </w:r>
    </w:p>
    <w:p w14:paraId="1044D5D5">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[8]岳茂兴,李奇林,陈晓辉等.患者院外转运服务规范专家共识(2018)[J].中华卫生应急电子杂志,2018,4(04):193-203.</w:t>
      </w:r>
    </w:p>
    <w:p w14:paraId="5945366F">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[9]陈昌群,侯翠霞,刘新凤等.急性脑卒中病人院内安全转运标准化的建立与应用评价[J].蚌埠医学院学报,2021,46(08):1130-1132+1137.</w:t>
      </w:r>
    </w:p>
    <w:p w14:paraId="1A4B9E68">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firstLine="643" w:firstLineChars="200"/>
        <w:textAlignment w:val="auto"/>
        <w:rPr>
          <w:rFonts w:hint="eastAsia" w:ascii="仿宋_GB2312" w:hAnsi="仿宋_GB2312" w:eastAsia="仿宋_GB2312" w:cs="仿宋_GB2312"/>
          <w:b/>
          <w:bCs/>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lang w:val="en-US" w:eastAsia="zh-CN"/>
          <w14:textFill>
            <w14:solidFill>
              <w14:schemeClr w14:val="tx1"/>
            </w14:solidFill>
          </w14:textFill>
        </w:rPr>
        <w:t>（二）标准主要框架</w:t>
      </w:r>
    </w:p>
    <w:p w14:paraId="2D08545C">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的的总体结构包括标准的范围、规范性引用文件、术语与定义、基本要求、转运评估、转运实施、评价与改进7个章节，以危重症和活动受限的脑卒中患者转运操作流程为主线涵盖转运各关键环节，明确各环节操作要求与规范，实现转运流程规范化与标准化。</w:t>
      </w:r>
    </w:p>
    <w:p w14:paraId="14BAE462">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3" w:firstLineChars="200"/>
        <w:textAlignment w:val="auto"/>
        <w:rPr>
          <w:rFonts w:hint="eastAsia" w:ascii="仿宋_GB2312" w:hAnsi="仿宋_GB2312" w:eastAsia="仿宋_GB2312" w:cs="仿宋_GB2312"/>
          <w:b/>
          <w:bCs/>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lang w:val="en-US" w:eastAsia="zh-CN" w:bidi="ar-SA"/>
          <w14:textFill>
            <w14:solidFill>
              <w14:schemeClr w14:val="tx1"/>
            </w14:solidFill>
          </w14:textFill>
        </w:rPr>
        <w:t>（三）</w:t>
      </w:r>
      <w:r>
        <w:rPr>
          <w:rFonts w:hint="eastAsia" w:ascii="仿宋_GB2312" w:hAnsi="仿宋_GB2312" w:eastAsia="仿宋_GB2312" w:cs="仿宋_GB2312"/>
          <w:b/>
          <w:bCs/>
          <w:i w:val="0"/>
          <w:iCs w:val="0"/>
          <w:caps w:val="0"/>
          <w:color w:val="000000" w:themeColor="text1"/>
          <w:spacing w:val="0"/>
          <w:sz w:val="32"/>
          <w:szCs w:val="32"/>
          <w:shd w:val="clear" w:fill="FFFFFF"/>
          <w:lang w:val="en-US" w:eastAsia="zh-CN"/>
          <w14:textFill>
            <w14:solidFill>
              <w14:schemeClr w14:val="tx1"/>
            </w14:solidFill>
          </w14:textFill>
        </w:rPr>
        <w:t>标准主要内容的说明</w:t>
      </w:r>
    </w:p>
    <w:p w14:paraId="111FEBDA">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标准第1章“范围”规定危重症和活动受限的脑卒中患者转运的基本要求、转运评估、转运实施、评价与改进等内容。适用于全市各级各类医疗机构对危重症和活动受限的脑卒中患者的转运医疗服务操作。</w:t>
      </w:r>
    </w:p>
    <w:p w14:paraId="5164DF19">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标准第2章“规范性引用文件”引用了WS/T 311-2023《医院隔离技术标准》，适用于本标准涉及的院感防控等环节。</w:t>
      </w:r>
    </w:p>
    <w:p w14:paraId="59D1DFED">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第3章“术语和定义”对危重症和活动受限的脑卒中患者转运领域涉及的关键术语进行了清晰定义，如“危重症患者”、“活动受限”、“脑卒中”、“转运”等。通过明确术语内涵，避免转运过程中因术语理解不一致导致的执行偏差。</w:t>
      </w:r>
    </w:p>
    <w:p w14:paraId="21F9C411">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第4章“基本要求”，以《中国重症患者转运指南2010》（草案）为依据，遵循安全性、及时性、专业性、人文关怀的原则，对转运工具、转运类别、转运人员、知情同意等方面做出明确规定，确保转运工作规范有序开展。</w:t>
      </w:r>
    </w:p>
    <w:p w14:paraId="5099CCB0">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标准第5章“转运评估”结合《中国重症患者转运指南2010》（草案）、《危重症患者院际转运专家共识》、</w:t>
      </w:r>
      <w:r>
        <w:rPr>
          <w:rFonts w:hint="eastAsia" w:ascii="仿宋_GB2312" w:hAnsi="仿宋_GB2312" w:eastAsia="仿宋_GB2312" w:cs="仿宋_GB2312"/>
          <w:i w:val="0"/>
          <w:iCs w:val="0"/>
          <w:caps w:val="0"/>
          <w:color w:val="auto"/>
          <w:spacing w:val="0"/>
          <w:sz w:val="32"/>
          <w:szCs w:val="32"/>
          <w:shd w:val="clear" w:fill="FFFFFF"/>
          <w:lang w:val="en-US" w:eastAsia="zh-CN"/>
        </w:rPr>
        <w:t>《住院患者院内转运工作规范》等指南、共识，</w:t>
      </w: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从患者评估、设备评估、人员评估、应急评估四个方面详细规定了评估内容和要求。其中患者评估采用NEWS评分量表和活动能力分级确定转运等级及工具，为转运分级管理提供科学依据。</w:t>
      </w:r>
    </w:p>
    <w:p w14:paraId="4E3D005E">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标准第6章“转运实施”作为标准的核心内容，编写依据来源于</w:t>
      </w:r>
      <w:r>
        <w:rPr>
          <w:rFonts w:hint="eastAsia" w:ascii="仿宋_GB2312" w:hAnsi="仿宋_GB2312" w:eastAsia="仿宋_GB2312" w:cs="仿宋_GB2312"/>
          <w:i w:val="0"/>
          <w:iCs w:val="0"/>
          <w:caps w:val="0"/>
          <w:color w:val="auto"/>
          <w:spacing w:val="0"/>
          <w:sz w:val="32"/>
          <w:szCs w:val="32"/>
          <w:shd w:val="clear" w:fill="FFFFFF"/>
          <w:lang w:val="en-US" w:eastAsia="zh-CN"/>
        </w:rPr>
        <w:t>《急危重症护理学》、</w:t>
      </w: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《危重症患者院际转运专家共识》、《急诊危重症患者院内转运共识——标准化分级转运方案》等将转运过程细分为转运前、转运中、转运后三个阶段，每个阶段都明确了具体的操作规范：</w:t>
      </w:r>
    </w:p>
    <w:p w14:paraId="15F4B81A">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转运前：包括患者准备、人员配置、设备药品准备、院感防控等具体要求；</w:t>
      </w:r>
    </w:p>
    <w:p w14:paraId="6D43AD0D">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转运中：规定转运监护要点及人员站位等关键环节；</w:t>
      </w:r>
    </w:p>
    <w:p w14:paraId="3EC6FC89">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转运后：规范交接流程、记录要求、设备消毒、应急事件上报等后续工作。</w:t>
      </w:r>
    </w:p>
    <w:p w14:paraId="0440352E">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标准第7章“评价与改进”建立了科学的评价指标体系，包括转运准备时间、不良事件发生率、患者满意度等量化指标，并规定了持续改进的具体措施，如不良事件分析整改、定期培训考核等，确保转运质量持续提升。</w:t>
      </w:r>
    </w:p>
    <w:p w14:paraId="20E38A43">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“附录”部分提供了操作性强的配套工具：</w:t>
      </w:r>
    </w:p>
    <w:p w14:paraId="030FB47D">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附录A：NEWS评分量表，用于转运分级评估；</w:t>
      </w:r>
    </w:p>
    <w:p w14:paraId="49779343">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附录B：患者活动能力分级，指导转运工具选择；</w:t>
      </w:r>
    </w:p>
    <w:p w14:paraId="3581B1F1">
      <w:pPr>
        <w:pStyle w:val="9"/>
        <w:keepNext w:val="0"/>
        <w:keepLines w:val="0"/>
        <w:pageBreakBefore w:val="0"/>
        <w:widowControl/>
        <w:numPr>
          <w:ilvl w:val="0"/>
          <w:numId w:val="0"/>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附录C：转运分级人员及配置，规范高风险患者转运的医护配备标准。</w:t>
      </w:r>
    </w:p>
    <w:p w14:paraId="6ED99BA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color w:val="auto"/>
          <w:sz w:val="32"/>
          <w:szCs w:val="32"/>
          <w:lang w:val="en-US" w:eastAsia="zh-CN"/>
        </w:rPr>
      </w:pPr>
      <w:r>
        <w:rPr>
          <w:rStyle w:val="8"/>
          <w:rFonts w:hint="eastAsia" w:ascii="仿宋_GB2312" w:hAnsi="仿宋_GB2312" w:eastAsia="仿宋_GB2312" w:cs="仿宋_GB2312"/>
          <w:b/>
          <w:bCs/>
          <w:i w:val="0"/>
          <w:iCs w:val="0"/>
          <w:caps w:val="0"/>
          <w:color w:val="auto"/>
          <w:spacing w:val="0"/>
          <w:sz w:val="32"/>
          <w:szCs w:val="32"/>
          <w:shd w:val="clear" w:fill="FFFFFF"/>
        </w:rPr>
        <w:t>五、与相关法律法规和标准的关系</w:t>
      </w:r>
    </w:p>
    <w:p w14:paraId="777A02C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该标准的制定</w:t>
      </w:r>
      <w:r>
        <w:rPr>
          <w:rFonts w:hint="eastAsia" w:ascii="仿宋_GB2312" w:hAnsi="仿宋_GB2312" w:eastAsia="仿宋_GB2312" w:cs="仿宋_GB2312"/>
          <w:i w:val="0"/>
          <w:iCs w:val="0"/>
          <w:caps w:val="0"/>
          <w:color w:val="auto"/>
          <w:spacing w:val="0"/>
          <w:sz w:val="32"/>
          <w:szCs w:val="32"/>
          <w:shd w:val="clear" w:fill="FFFFFF"/>
        </w:rPr>
        <w:t>符合《中华人民共和国标准化法》</w:t>
      </w:r>
      <w:r>
        <w:rPr>
          <w:rFonts w:hint="eastAsia" w:ascii="仿宋_GB2312" w:hAnsi="仿宋_GB2312" w:eastAsia="仿宋_GB2312" w:cs="仿宋_GB2312"/>
          <w:i w:val="0"/>
          <w:iCs w:val="0"/>
          <w:caps w:val="0"/>
          <w:color w:val="auto"/>
          <w:spacing w:val="0"/>
          <w:sz w:val="32"/>
          <w:szCs w:val="32"/>
          <w:shd w:val="clear" w:fill="FFFFFF"/>
          <w:lang w:eastAsia="zh-CN"/>
        </w:rPr>
        <w:t>、《湘潭市地方标准管理办法》</w:t>
      </w:r>
      <w:r>
        <w:rPr>
          <w:rFonts w:hint="eastAsia" w:ascii="仿宋_GB2312" w:hAnsi="仿宋_GB2312" w:eastAsia="仿宋_GB2312" w:cs="仿宋_GB2312"/>
          <w:i w:val="0"/>
          <w:iCs w:val="0"/>
          <w:caps w:val="0"/>
          <w:color w:val="auto"/>
          <w:spacing w:val="0"/>
          <w:sz w:val="32"/>
          <w:szCs w:val="32"/>
          <w:shd w:val="clear" w:fill="FFFFFF"/>
          <w:lang w:val="en-US" w:eastAsia="zh-CN"/>
        </w:rPr>
        <w:t>的编制要求，且项目小组成员通过</w:t>
      </w:r>
      <w:r>
        <w:rPr>
          <w:rFonts w:hint="eastAsia" w:ascii="仿宋_GB2312" w:hAnsi="仿宋_GB2312" w:eastAsia="仿宋_GB2312" w:cs="仿宋_GB2312"/>
          <w:i w:val="0"/>
          <w:iCs w:val="0"/>
          <w:caps w:val="0"/>
          <w:color w:val="auto"/>
          <w:spacing w:val="0"/>
          <w:sz w:val="32"/>
          <w:szCs w:val="32"/>
          <w:shd w:val="clear" w:fill="FFFFFF"/>
        </w:rPr>
        <w:t>检索中英文文献数据库</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国际指南网络及国内医脉通</w:t>
      </w:r>
      <w:r>
        <w:rPr>
          <w:rFonts w:hint="eastAsia" w:ascii="仿宋_GB2312" w:hAnsi="仿宋_GB2312" w:eastAsia="仿宋_GB2312" w:cs="仿宋_GB2312"/>
          <w:i w:val="0"/>
          <w:iCs w:val="0"/>
          <w:caps w:val="0"/>
          <w:color w:val="auto"/>
          <w:spacing w:val="0"/>
          <w:sz w:val="32"/>
          <w:szCs w:val="32"/>
          <w:shd w:val="clear" w:fill="FFFFFF"/>
          <w:lang w:val="en-US" w:eastAsia="zh-CN"/>
        </w:rPr>
        <w:t>标准</w:t>
      </w:r>
      <w:r>
        <w:rPr>
          <w:rFonts w:hint="eastAsia" w:ascii="仿宋_GB2312" w:hAnsi="仿宋_GB2312" w:eastAsia="仿宋_GB2312" w:cs="仿宋_GB2312"/>
          <w:i w:val="0"/>
          <w:iCs w:val="0"/>
          <w:caps w:val="0"/>
          <w:color w:val="auto"/>
          <w:spacing w:val="0"/>
          <w:sz w:val="32"/>
          <w:szCs w:val="32"/>
          <w:shd w:val="clear" w:fill="FFFFFF"/>
        </w:rPr>
        <w:t>平台</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以及</w:t>
      </w:r>
      <w:r>
        <w:rPr>
          <w:rFonts w:hint="eastAsia" w:ascii="仿宋_GB2312" w:hAnsi="仿宋_GB2312" w:eastAsia="仿宋_GB2312" w:cs="仿宋_GB2312"/>
          <w:i w:val="0"/>
          <w:iCs w:val="0"/>
          <w:caps w:val="0"/>
          <w:color w:val="auto"/>
          <w:spacing w:val="0"/>
          <w:sz w:val="32"/>
          <w:szCs w:val="32"/>
          <w:shd w:val="clear" w:fill="FFFFFF"/>
        </w:rPr>
        <w:t>全国标准信息公共服务平台、湖南省团体标准信息公共服务平台、中华护理学会等标准发布机构的现有规范</w:t>
      </w:r>
      <w:r>
        <w:rPr>
          <w:rFonts w:hint="eastAsia" w:ascii="仿宋_GB2312" w:hAnsi="仿宋_GB2312" w:eastAsia="仿宋_GB2312" w:cs="仿宋_GB2312"/>
          <w:i w:val="0"/>
          <w:iCs w:val="0"/>
          <w:caps w:val="0"/>
          <w:color w:val="auto"/>
          <w:spacing w:val="0"/>
          <w:sz w:val="32"/>
          <w:szCs w:val="32"/>
          <w:shd w:val="clear" w:fill="FFFFFF"/>
          <w:lang w:val="en-US" w:eastAsia="zh-CN"/>
        </w:rPr>
        <w:t>，目前尚未制定有关于危重症和活动受限的脑卒中患者的转运规范。该标准的制定将首次在市级层面，专门针对危重症和活动受限脑卒中患者这一高风险、高需求群体的转运环节，制定系统、规范的指引。</w:t>
      </w:r>
    </w:p>
    <w:p w14:paraId="2C3B72D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color w:val="auto"/>
          <w:sz w:val="32"/>
          <w:szCs w:val="32"/>
        </w:rPr>
      </w:pPr>
      <w:r>
        <w:rPr>
          <w:rStyle w:val="8"/>
          <w:rFonts w:hint="eastAsia" w:ascii="仿宋_GB2312" w:hAnsi="仿宋_GB2312" w:eastAsia="仿宋_GB2312" w:cs="仿宋_GB2312"/>
          <w:b/>
          <w:bCs/>
          <w:i w:val="0"/>
          <w:iCs w:val="0"/>
          <w:caps w:val="0"/>
          <w:color w:val="auto"/>
          <w:spacing w:val="0"/>
          <w:sz w:val="32"/>
          <w:szCs w:val="32"/>
          <w:shd w:val="clear" w:fill="FFFFFF"/>
        </w:rPr>
        <w:t>六、实施推广建议</w:t>
      </w:r>
    </w:p>
    <w:p w14:paraId="3C0B12F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1、</w:t>
      </w:r>
      <w:r>
        <w:rPr>
          <w:rStyle w:val="8"/>
          <w:rFonts w:hint="eastAsia" w:ascii="仿宋_GB2312" w:hAnsi="仿宋_GB2312" w:eastAsia="仿宋_GB2312" w:cs="仿宋_GB2312"/>
          <w:b/>
          <w:bCs/>
          <w:i w:val="0"/>
          <w:iCs w:val="0"/>
          <w:caps w:val="0"/>
          <w:color w:val="auto"/>
          <w:spacing w:val="0"/>
          <w:sz w:val="32"/>
          <w:szCs w:val="32"/>
          <w:shd w:val="clear" w:fill="FFFFFF"/>
        </w:rPr>
        <w:t>适用地域</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该标准适用于</w:t>
      </w:r>
      <w:r>
        <w:rPr>
          <w:rFonts w:hint="eastAsia" w:ascii="仿宋_GB2312" w:hAnsi="仿宋_GB2312" w:eastAsia="仿宋_GB2312" w:cs="仿宋_GB2312"/>
          <w:i w:val="0"/>
          <w:iCs w:val="0"/>
          <w:caps w:val="0"/>
          <w:color w:val="auto"/>
          <w:spacing w:val="0"/>
          <w:sz w:val="32"/>
          <w:szCs w:val="32"/>
          <w:shd w:val="clear" w:fill="FFFFFF"/>
        </w:rPr>
        <w:t>湘潭市行政区域范围内的各级各类医疗机构</w:t>
      </w:r>
      <w:r>
        <w:rPr>
          <w:rFonts w:hint="eastAsia" w:ascii="仿宋_GB2312" w:hAnsi="仿宋_GB2312" w:eastAsia="仿宋_GB2312" w:cs="仿宋_GB2312"/>
          <w:i w:val="0"/>
          <w:iCs w:val="0"/>
          <w:caps w:val="0"/>
          <w:color w:val="auto"/>
          <w:spacing w:val="0"/>
          <w:sz w:val="32"/>
          <w:szCs w:val="32"/>
          <w:shd w:val="clear" w:fill="FFFFFF"/>
          <w:lang w:eastAsia="zh-CN"/>
        </w:rPr>
        <w:t>。</w:t>
      </w:r>
    </w:p>
    <w:p w14:paraId="3B12190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color w:val="auto"/>
          <w:sz w:val="32"/>
          <w:szCs w:val="32"/>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2、适用</w:t>
      </w:r>
      <w:r>
        <w:rPr>
          <w:rStyle w:val="8"/>
          <w:rFonts w:hint="eastAsia" w:ascii="仿宋_GB2312" w:hAnsi="仿宋_GB2312" w:eastAsia="仿宋_GB2312" w:cs="仿宋_GB2312"/>
          <w:b/>
          <w:bCs/>
          <w:i w:val="0"/>
          <w:iCs w:val="0"/>
          <w:caps w:val="0"/>
          <w:color w:val="auto"/>
          <w:spacing w:val="0"/>
          <w:sz w:val="32"/>
          <w:szCs w:val="32"/>
          <w:shd w:val="clear" w:fill="FFFFFF"/>
        </w:rPr>
        <w:t>领域</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试用与危重症和活动受限的脑卒中患者</w:t>
      </w:r>
      <w:r>
        <w:rPr>
          <w:rFonts w:hint="eastAsia" w:ascii="仿宋_GB2312" w:hAnsi="仿宋_GB2312" w:eastAsia="仿宋_GB2312" w:cs="仿宋_GB2312"/>
          <w:i w:val="0"/>
          <w:iCs w:val="0"/>
          <w:caps w:val="0"/>
          <w:color w:val="auto"/>
          <w:spacing w:val="0"/>
          <w:sz w:val="32"/>
          <w:szCs w:val="32"/>
          <w:shd w:val="clear" w:fill="FFFFFF"/>
        </w:rPr>
        <w:t>院前急救、院内转运及院际转诊场景。</w:t>
      </w:r>
    </w:p>
    <w:p w14:paraId="4074474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leftChars="0" w:right="0" w:firstLine="643"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3、推广建议</w:t>
      </w:r>
      <w:r>
        <w:rPr>
          <w:rFonts w:hint="eastAsia" w:ascii="仿宋_GB2312" w:hAnsi="仿宋_GB2312" w:eastAsia="仿宋_GB2312" w:cs="仿宋_GB2312"/>
          <w:i w:val="0"/>
          <w:iCs w:val="0"/>
          <w:caps w:val="0"/>
          <w:color w:val="auto"/>
          <w:spacing w:val="0"/>
          <w:sz w:val="32"/>
          <w:szCs w:val="32"/>
          <w:shd w:val="clear" w:fill="FFFFFF"/>
        </w:rPr>
        <w:t>：</w:t>
      </w:r>
    </w:p>
    <w:p w14:paraId="0A5B8412">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（1）加强宣传推广：成立以湘潭市中心医院为首的标准化领导小组，安排宣传造势，充分发挥新媒体等各类新闻媒体，对标准进行宣传。</w:t>
      </w:r>
    </w:p>
    <w:p w14:paraId="123414D6">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（2）开展试点示范：选择县、市、社区不同层级医院开展试点，组织医疗机构、科研院校等对标准采取集中授课、现场观摩和交流答疑等方式，深入开展标准的学习和交流。</w:t>
      </w:r>
    </w:p>
    <w:p w14:paraId="4FC12D41">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（3）建立监督机制：制定危重症和活动受限的脑卒中患者转运质量评价标准，定期对各地实施情况进行督导检查，确保标准有效执行。</w:t>
      </w:r>
    </w:p>
    <w:p w14:paraId="4DA3FDD1">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Autospacing="0" w:line="600" w:lineRule="exact"/>
        <w:ind w:left="0" w:leftChars="0" w:right="0" w:righ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（4）持续改进完善：定期总结、考核标准化的推广工作情况，系统归纳、提炼经典经验做法，及时固化形成有效的、操作性强、可借鉴、可复制的长效机制。</w:t>
      </w:r>
    </w:p>
    <w:p w14:paraId="7E1781ED">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Style w:val="8"/>
          <w:rFonts w:hint="eastAsia" w:ascii="仿宋_GB2312" w:hAnsi="仿宋_GB2312" w:eastAsia="仿宋_GB2312" w:cs="仿宋_GB2312"/>
          <w:b/>
          <w:bCs/>
          <w:i w:val="0"/>
          <w:iCs w:val="0"/>
          <w:caps w:val="0"/>
          <w:color w:val="auto"/>
          <w:spacing w:val="0"/>
          <w:sz w:val="32"/>
          <w:szCs w:val="32"/>
          <w:shd w:val="clear" w:fill="FFFFFF"/>
          <w:lang w:val="en-US" w:eastAsia="zh-CN"/>
        </w:rPr>
      </w:pPr>
      <w:r>
        <w:rPr>
          <w:rStyle w:val="8"/>
          <w:rFonts w:hint="eastAsia" w:ascii="仿宋_GB2312" w:hAnsi="仿宋_GB2312" w:eastAsia="仿宋_GB2312" w:cs="仿宋_GB2312"/>
          <w:b/>
          <w:bCs/>
          <w:i w:val="0"/>
          <w:iCs w:val="0"/>
          <w:caps w:val="0"/>
          <w:color w:val="auto"/>
          <w:spacing w:val="0"/>
          <w:sz w:val="32"/>
          <w:szCs w:val="32"/>
          <w:shd w:val="clear" w:fill="FFFFFF"/>
          <w:lang w:val="en-US" w:eastAsia="zh-CN"/>
        </w:rPr>
        <w:t>4、推广注意事项：</w:t>
      </w:r>
    </w:p>
    <w:p w14:paraId="36A8EE3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Style w:val="8"/>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Style w:val="8"/>
          <w:rFonts w:hint="eastAsia" w:ascii="仿宋_GB2312" w:hAnsi="仿宋_GB2312" w:eastAsia="仿宋_GB2312" w:cs="仿宋_GB2312"/>
          <w:b w:val="0"/>
          <w:bCs w:val="0"/>
          <w:i w:val="0"/>
          <w:iCs w:val="0"/>
          <w:caps w:val="0"/>
          <w:color w:val="auto"/>
          <w:spacing w:val="0"/>
          <w:sz w:val="32"/>
          <w:szCs w:val="32"/>
          <w:shd w:val="clear" w:fill="FFFFFF"/>
          <w:lang w:val="en-US" w:eastAsia="zh-CN"/>
        </w:rPr>
        <w:t>（1）基层医院执行阻力：部分基层机构可能因资源不足（如缺呼吸机）难以达标；针对次可允许分阶段达标，通过城市医联体共享资源。</w:t>
      </w:r>
    </w:p>
    <w:p w14:paraId="1FDBF6A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Style w:val="8"/>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Style w:val="8"/>
          <w:rFonts w:hint="eastAsia" w:ascii="仿宋_GB2312" w:hAnsi="仿宋_GB2312" w:eastAsia="仿宋_GB2312" w:cs="仿宋_GB2312"/>
          <w:b w:val="0"/>
          <w:bCs w:val="0"/>
          <w:i w:val="0"/>
          <w:iCs w:val="0"/>
          <w:caps w:val="0"/>
          <w:color w:val="auto"/>
          <w:spacing w:val="0"/>
          <w:sz w:val="32"/>
          <w:szCs w:val="32"/>
          <w:shd w:val="clear" w:fill="FFFFFF"/>
          <w:lang w:val="en-US" w:eastAsia="zh-CN"/>
        </w:rPr>
        <w:t>（2）标准与现有流程冲突：部分医院已有转运流程，可能抵触调整，针对次需强调本标准为“补充细化”而非推翻现有流程；提供对比案例，提高执行依从性。</w:t>
      </w:r>
    </w:p>
    <w:p w14:paraId="475262D2">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Style w:val="8"/>
          <w:rFonts w:hint="eastAsia" w:ascii="仿宋_GB2312" w:hAnsi="仿宋_GB2312" w:eastAsia="仿宋_GB2312" w:cs="仿宋_GB2312"/>
          <w:b w:val="0"/>
          <w:bCs w:val="0"/>
          <w:i w:val="0"/>
          <w:iCs w:val="0"/>
          <w:caps w:val="0"/>
          <w:color w:val="auto"/>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93890"/>
    <w:rsid w:val="075F25AE"/>
    <w:rsid w:val="0C9054B2"/>
    <w:rsid w:val="1170336A"/>
    <w:rsid w:val="1CA27B4C"/>
    <w:rsid w:val="265E2CFF"/>
    <w:rsid w:val="28D41F61"/>
    <w:rsid w:val="2F762B65"/>
    <w:rsid w:val="34297E2C"/>
    <w:rsid w:val="3A3C4956"/>
    <w:rsid w:val="3CF860CF"/>
    <w:rsid w:val="3D826E7B"/>
    <w:rsid w:val="435922B8"/>
    <w:rsid w:val="458669C4"/>
    <w:rsid w:val="45F51BE6"/>
    <w:rsid w:val="486E681F"/>
    <w:rsid w:val="4B2D4F2A"/>
    <w:rsid w:val="515379E0"/>
    <w:rsid w:val="60502019"/>
    <w:rsid w:val="61704C88"/>
    <w:rsid w:val="61AE09AB"/>
    <w:rsid w:val="63424833"/>
    <w:rsid w:val="64326C97"/>
    <w:rsid w:val="6AF74155"/>
    <w:rsid w:val="6B5E2441"/>
    <w:rsid w:val="6E207F46"/>
    <w:rsid w:val="6F5F34B8"/>
    <w:rsid w:val="6FD42CB7"/>
    <w:rsid w:val="71B44B4E"/>
    <w:rsid w:val="71D46695"/>
    <w:rsid w:val="73B46F7E"/>
    <w:rsid w:val="7EF43B3B"/>
    <w:rsid w:val="7F8B00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宋体"/>
      <w:sz w:val="24"/>
      <w:szCs w:val="24"/>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Normal (Web)"/>
    <w:basedOn w:val="1"/>
    <w:qFormat/>
    <w:uiPriority w:val="0"/>
    <w:rPr>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paragraph" w:customStyle="1" w:styleId="9">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4691</Words>
  <Characters>5239</Characters>
  <Lines>0</Lines>
  <Paragraphs>0</Paragraphs>
  <TotalTime>1</TotalTime>
  <ScaleCrop>false</ScaleCrop>
  <LinksUpToDate>false</LinksUpToDate>
  <CharactersWithSpaces>5279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2025-07-27T14:12:00Z</dcterms:created>
  <dc:creator>28190</dc:creator>
  <cp:lastModifiedBy>好</cp:lastModifiedBy>
  <dcterms:modified xsi:type="dcterms:W3CDTF">2025-09-03T00:40:40Z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354FF3B367A1434D98F6A3DB17919D1E_12</vt:lpwstr>
  </property>
  <property fmtid="{D5CDD505-2E9C-101B-9397-08002B2CF9AE}" pid="4" name="KSOTemplateDocerSaveRecord">
    <vt:lpwstr>eyJoZGlkIjoiMTczODRkMDY2YTgyOTlkMjI0OWFmYzEwZmYzZjg3MzgiLCJ1c2VySWQiOiI2MDUxNzg4MDQifQ==</vt:lpwstr>
  </property>
</Properties>
</file>