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EA1C7">
      <w:pPr>
        <w:keepNext w:val="0"/>
        <w:keepLines w:val="0"/>
        <w:pageBreakBefore w:val="0"/>
        <w:widowControl w:val="0"/>
        <w:kinsoku/>
        <w:wordWrap/>
        <w:overflowPunct/>
        <w:topLinePunct w:val="0"/>
        <w:autoSpaceDE/>
        <w:autoSpaceDN/>
        <w:bidi w:val="0"/>
        <w:adjustRightInd/>
        <w:snapToGrid/>
        <w:spacing w:line="576" w:lineRule="exact"/>
        <w:ind w:right="0" w:rightChars="0"/>
        <w:jc w:val="both"/>
        <w:textAlignment w:val="auto"/>
        <w:rPr>
          <w:rFonts w:hint="eastAsia" w:ascii="黑体" w:hAnsi="黑体" w:eastAsia="黑体" w:cs="黑体"/>
          <w:color w:val="auto"/>
          <w:spacing w:val="0"/>
          <w:kern w:val="0"/>
          <w:sz w:val="32"/>
          <w:szCs w:val="32"/>
          <w:u w:val="none"/>
          <w:lang w:val="en-US" w:eastAsia="zh-CN"/>
        </w:rPr>
      </w:pPr>
      <w:bookmarkStart w:id="0" w:name="_Hlk49261815"/>
      <w:r>
        <w:rPr>
          <w:rFonts w:hint="eastAsia" w:ascii="黑体" w:hAnsi="黑体" w:eastAsia="黑体" w:cs="黑体"/>
          <w:color w:val="auto"/>
          <w:spacing w:val="0"/>
          <w:kern w:val="0"/>
          <w:sz w:val="32"/>
          <w:szCs w:val="32"/>
          <w:u w:val="none"/>
          <w:lang w:eastAsia="zh-CN"/>
        </w:rPr>
        <w:t>附件</w:t>
      </w:r>
      <w:r>
        <w:rPr>
          <w:rFonts w:hint="eastAsia" w:ascii="黑体" w:hAnsi="黑体" w:eastAsia="黑体" w:cs="黑体"/>
          <w:color w:val="auto"/>
          <w:spacing w:val="0"/>
          <w:kern w:val="0"/>
          <w:sz w:val="32"/>
          <w:szCs w:val="32"/>
          <w:u w:val="none"/>
          <w:lang w:val="en-US" w:eastAsia="zh-CN"/>
        </w:rPr>
        <w:t>1</w:t>
      </w:r>
    </w:p>
    <w:p w14:paraId="5003E592">
      <w:pPr>
        <w:keepNext w:val="0"/>
        <w:keepLines w:val="0"/>
        <w:pageBreakBefore w:val="0"/>
        <w:widowControl w:val="0"/>
        <w:kinsoku/>
        <w:wordWrap/>
        <w:overflowPunct/>
        <w:topLinePunct w:val="0"/>
        <w:autoSpaceDE/>
        <w:autoSpaceDN/>
        <w:bidi w:val="0"/>
        <w:adjustRightInd/>
        <w:snapToGrid/>
        <w:spacing w:line="576" w:lineRule="exact"/>
        <w:ind w:right="0" w:rightChars="0"/>
        <w:jc w:val="center"/>
        <w:textAlignment w:val="auto"/>
        <w:rPr>
          <w:rFonts w:hint="eastAsia" w:ascii="方正小标宋_GBK" w:hAnsi="方正小标宋_GBK" w:eastAsia="方正小标宋_GBK" w:cs="方正小标宋_GBK"/>
          <w:color w:val="auto"/>
          <w:spacing w:val="0"/>
          <w:kern w:val="0"/>
          <w:sz w:val="44"/>
          <w:szCs w:val="44"/>
          <w:u w:val="none"/>
        </w:rPr>
      </w:pPr>
    </w:p>
    <w:p w14:paraId="5592B0BA">
      <w:pPr>
        <w:keepNext w:val="0"/>
        <w:keepLines w:val="0"/>
        <w:pageBreakBefore w:val="0"/>
        <w:widowControl w:val="0"/>
        <w:kinsoku/>
        <w:wordWrap/>
        <w:overflowPunct/>
        <w:topLinePunct w:val="0"/>
        <w:autoSpaceDE/>
        <w:autoSpaceDN/>
        <w:bidi w:val="0"/>
        <w:adjustRightInd/>
        <w:snapToGrid/>
        <w:spacing w:line="576" w:lineRule="exact"/>
        <w:ind w:right="0" w:rightChars="0"/>
        <w:jc w:val="center"/>
        <w:textAlignment w:val="auto"/>
        <w:rPr>
          <w:rFonts w:hint="eastAsia" w:ascii="方正小标宋_GBK" w:hAnsi="方正小标宋_GBK" w:eastAsia="方正小标宋_GBK" w:cs="方正小标宋_GBK"/>
          <w:color w:val="auto"/>
          <w:spacing w:val="0"/>
          <w:kern w:val="0"/>
          <w:sz w:val="44"/>
          <w:szCs w:val="44"/>
          <w:u w:val="none"/>
          <w:lang w:eastAsia="zh-CN"/>
        </w:rPr>
      </w:pPr>
      <w:r>
        <w:rPr>
          <w:rFonts w:hint="eastAsia" w:ascii="方正小标宋_GBK" w:hAnsi="方正小标宋_GBK" w:eastAsia="方正小标宋_GBK" w:cs="方正小标宋_GBK"/>
          <w:color w:val="auto"/>
          <w:spacing w:val="0"/>
          <w:kern w:val="0"/>
          <w:sz w:val="44"/>
          <w:szCs w:val="44"/>
          <w:u w:val="none"/>
        </w:rPr>
        <w:t>202</w:t>
      </w:r>
      <w:r>
        <w:rPr>
          <w:rFonts w:hint="eastAsia" w:ascii="方正小标宋_GBK" w:hAnsi="方正小标宋_GBK" w:eastAsia="方正小标宋_GBK" w:cs="方正小标宋_GBK"/>
          <w:color w:val="auto"/>
          <w:spacing w:val="0"/>
          <w:kern w:val="0"/>
          <w:sz w:val="44"/>
          <w:szCs w:val="44"/>
          <w:u w:val="none"/>
          <w:lang w:val="en-US" w:eastAsia="zh-CN"/>
        </w:rPr>
        <w:t>5</w:t>
      </w:r>
      <w:r>
        <w:rPr>
          <w:rFonts w:hint="eastAsia" w:ascii="方正小标宋_GBK" w:hAnsi="方正小标宋_GBK" w:eastAsia="方正小标宋_GBK" w:cs="方正小标宋_GBK"/>
          <w:color w:val="auto"/>
          <w:spacing w:val="0"/>
          <w:kern w:val="0"/>
          <w:sz w:val="44"/>
          <w:szCs w:val="44"/>
          <w:u w:val="none"/>
        </w:rPr>
        <w:t>年湘潭市知识产权专项</w:t>
      </w:r>
      <w:r>
        <w:rPr>
          <w:rFonts w:hint="eastAsia" w:ascii="方正小标宋_GBK" w:hAnsi="方正小标宋_GBK" w:eastAsia="方正小标宋_GBK" w:cs="方正小标宋_GBK"/>
          <w:color w:val="auto"/>
          <w:spacing w:val="0"/>
          <w:kern w:val="0"/>
          <w:sz w:val="44"/>
          <w:szCs w:val="44"/>
          <w:u w:val="none"/>
          <w:lang w:eastAsia="zh-CN"/>
        </w:rPr>
        <w:t>增补</w:t>
      </w:r>
      <w:r>
        <w:rPr>
          <w:rFonts w:hint="eastAsia" w:ascii="方正小标宋_GBK" w:hAnsi="方正小标宋_GBK" w:eastAsia="方正小标宋_GBK" w:cs="方正小标宋_GBK"/>
          <w:color w:val="auto"/>
          <w:spacing w:val="0"/>
          <w:kern w:val="0"/>
          <w:sz w:val="44"/>
          <w:szCs w:val="44"/>
          <w:u w:val="none"/>
        </w:rPr>
        <w:t>项目</w:t>
      </w:r>
    </w:p>
    <w:p w14:paraId="5949BF63">
      <w:pPr>
        <w:keepNext w:val="0"/>
        <w:keepLines w:val="0"/>
        <w:pageBreakBefore w:val="0"/>
        <w:widowControl w:val="0"/>
        <w:kinsoku/>
        <w:wordWrap/>
        <w:overflowPunct/>
        <w:topLinePunct w:val="0"/>
        <w:autoSpaceDE/>
        <w:autoSpaceDN/>
        <w:bidi w:val="0"/>
        <w:adjustRightInd/>
        <w:snapToGrid/>
        <w:spacing w:line="576" w:lineRule="exact"/>
        <w:ind w:right="0" w:rightChars="0"/>
        <w:jc w:val="center"/>
        <w:textAlignment w:val="auto"/>
        <w:rPr>
          <w:rFonts w:hint="eastAsia" w:ascii="方正小标宋_GBK" w:hAnsi="方正小标宋_GBK" w:eastAsia="方正小标宋_GBK" w:cs="方正小标宋_GBK"/>
          <w:color w:val="auto"/>
          <w:spacing w:val="0"/>
          <w:kern w:val="0"/>
          <w:sz w:val="44"/>
          <w:szCs w:val="44"/>
          <w:u w:val="none"/>
        </w:rPr>
      </w:pPr>
      <w:r>
        <w:rPr>
          <w:rFonts w:hint="eastAsia" w:ascii="方正小标宋_GBK" w:hAnsi="方正小标宋_GBK" w:eastAsia="方正小标宋_GBK" w:cs="方正小标宋_GBK"/>
          <w:color w:val="auto"/>
          <w:spacing w:val="0"/>
          <w:kern w:val="0"/>
          <w:sz w:val="44"/>
          <w:szCs w:val="44"/>
          <w:u w:val="none"/>
        </w:rPr>
        <w:t>申报指南</w:t>
      </w:r>
      <w:bookmarkEnd w:id="0"/>
    </w:p>
    <w:p w14:paraId="2B17D57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方正小标宋_GBK" w:hAnsi="方正小标宋_GBK" w:eastAsia="方正小标宋_GBK" w:cs="方正小标宋_GBK"/>
          <w:color w:val="auto"/>
          <w:spacing w:val="0"/>
          <w:kern w:val="2"/>
          <w:sz w:val="32"/>
          <w:szCs w:val="32"/>
          <w:u w:val="none"/>
          <w:lang w:val="en-US" w:eastAsia="zh-CN" w:bidi="ar-SA"/>
        </w:rPr>
      </w:pPr>
    </w:p>
    <w:p w14:paraId="4415278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pacing w:val="0"/>
          <w:kern w:val="0"/>
          <w:position w:val="1"/>
          <w:sz w:val="32"/>
          <w:szCs w:val="32"/>
        </w:rPr>
      </w:pPr>
      <w:r>
        <w:rPr>
          <w:rFonts w:hint="eastAsia" w:ascii="黑体" w:hAnsi="黑体" w:eastAsia="黑体" w:cs="黑体"/>
          <w:spacing w:val="0"/>
          <w:kern w:val="0"/>
          <w:position w:val="1"/>
          <w:sz w:val="32"/>
          <w:szCs w:val="32"/>
          <w:lang w:eastAsia="zh-CN"/>
        </w:rPr>
        <w:t>一、</w:t>
      </w:r>
      <w:r>
        <w:rPr>
          <w:rFonts w:hint="eastAsia" w:ascii="黑体" w:hAnsi="黑体" w:eastAsia="黑体" w:cs="黑体"/>
          <w:spacing w:val="0"/>
          <w:kern w:val="0"/>
          <w:position w:val="1"/>
          <w:sz w:val="32"/>
          <w:szCs w:val="32"/>
        </w:rPr>
        <w:t>支持范围</w:t>
      </w:r>
    </w:p>
    <w:p w14:paraId="6781AA1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Times New Roman" w:hAnsi="方正仿宋_GBK" w:eastAsia="方正仿宋_GBK" w:cs="方正仿宋_GBK"/>
          <w:spacing w:val="0"/>
          <w:kern w:val="0"/>
          <w:sz w:val="32"/>
          <w:szCs w:val="32"/>
          <w:lang w:val="en-US" w:eastAsia="zh-CN" w:bidi="ar-SA"/>
        </w:rPr>
      </w:pPr>
      <w:r>
        <w:rPr>
          <w:rFonts w:hint="eastAsia" w:ascii="Times New Roman" w:hAnsi="方正仿宋_GBK" w:eastAsia="方正仿宋_GBK" w:cs="方正仿宋_GBK"/>
          <w:spacing w:val="0"/>
          <w:kern w:val="0"/>
          <w:sz w:val="32"/>
          <w:szCs w:val="32"/>
          <w:lang w:val="en-US" w:eastAsia="zh-CN" w:bidi="ar-SA"/>
        </w:rPr>
        <w:t>海外知识产权纠纷应对指导</w:t>
      </w:r>
    </w:p>
    <w:p w14:paraId="22B6090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黑体" w:hAnsi="黑体" w:eastAsia="黑体" w:cs="黑体"/>
          <w:spacing w:val="0"/>
          <w:kern w:val="0"/>
          <w:position w:val="1"/>
          <w:sz w:val="32"/>
          <w:szCs w:val="32"/>
          <w:lang w:val="en-US" w:eastAsia="zh-CN"/>
        </w:rPr>
      </w:pPr>
      <w:r>
        <w:rPr>
          <w:rFonts w:hint="eastAsia" w:ascii="黑体" w:hAnsi="黑体" w:eastAsia="黑体" w:cs="黑体"/>
          <w:spacing w:val="0"/>
          <w:kern w:val="0"/>
          <w:position w:val="1"/>
          <w:sz w:val="32"/>
          <w:szCs w:val="32"/>
          <w:lang w:val="en-US" w:eastAsia="zh-CN"/>
        </w:rPr>
        <w:t>二、申报条件</w:t>
      </w:r>
    </w:p>
    <w:p w14:paraId="202D9F8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2"/>
          <w:sz w:val="32"/>
          <w:szCs w:val="32"/>
          <w:lang w:val="en-US" w:eastAsia="zh-CN" w:bidi="ar-SA"/>
        </w:rPr>
        <w:t>湘潭市行政区域内依法登记的且符合以下申报条件的企业。</w:t>
      </w:r>
    </w:p>
    <w:p w14:paraId="1C33B36B">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2"/>
          <w:sz w:val="32"/>
          <w:szCs w:val="32"/>
          <w:lang w:val="en-US" w:eastAsia="zh-CN" w:bidi="ar-SA"/>
        </w:rPr>
        <w:t>1.在境外应对专利侵权诉讼、无效宣告或行政调查（如美国ITC“337调查”），并在立案或收到相关法律文书后向国家海外知识产权纠纷应对指导中心湘潭分中心备案的；</w:t>
      </w:r>
    </w:p>
    <w:p w14:paraId="6998F08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2"/>
          <w:sz w:val="32"/>
          <w:szCs w:val="32"/>
          <w:lang w:val="en-US" w:eastAsia="zh-CN" w:bidi="ar-SA"/>
        </w:rPr>
        <w:t>2.在境外应对商标侵权诉讼、异议或无效程序（如商标抢注），并在立案或程序启动后向国家海外知识产权纠纷应对指导中心湘潭分中心备案的；</w:t>
      </w:r>
    </w:p>
    <w:p w14:paraId="729416F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2"/>
          <w:sz w:val="32"/>
          <w:szCs w:val="32"/>
          <w:lang w:val="en-US" w:eastAsia="zh-CN" w:bidi="ar-SA"/>
        </w:rPr>
        <w:t>3.在境外应对商业秘密侵权诉讼或相关调查，并在立案或收到调查通知后向国家海外知识产权纠纷应对指导中心湘潭分中心备案的；</w:t>
      </w:r>
    </w:p>
    <w:p w14:paraId="770A6C4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2"/>
          <w:sz w:val="32"/>
          <w:szCs w:val="32"/>
          <w:lang w:val="en-US" w:eastAsia="zh-CN" w:bidi="ar-SA"/>
        </w:rPr>
        <w:t>4.在境外应对海关因知识产权问题引发的货物暂扣、没收等保护措施，并在收到海关通知后向国家海外知识产权纠纷应对指导中心湘潭分中心备案的；</w:t>
      </w:r>
    </w:p>
    <w:p w14:paraId="64B6708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方正仿宋_GB18030" w:hAnsi="方正仿宋_GB18030" w:eastAsia="方正仿宋_GB18030" w:cs="方正仿宋_GB18030"/>
          <w:spacing w:val="0"/>
          <w:kern w:val="2"/>
          <w:sz w:val="32"/>
          <w:szCs w:val="32"/>
          <w:lang w:val="en-US" w:eastAsia="zh-CN" w:bidi="ar-SA"/>
        </w:rPr>
      </w:pPr>
      <w:r>
        <w:rPr>
          <w:rFonts w:hint="eastAsia" w:ascii="方正仿宋_GB18030" w:hAnsi="方正仿宋_GB18030" w:eastAsia="方正仿宋_GB18030" w:cs="方正仿宋_GB18030"/>
          <w:spacing w:val="0"/>
          <w:kern w:val="0"/>
          <w:sz w:val="32"/>
          <w:szCs w:val="32"/>
          <w:lang w:val="en-US" w:eastAsia="zh-CN" w:bidi="ar-SA"/>
        </w:rPr>
        <w:t>5.</w:t>
      </w:r>
      <w:r>
        <w:rPr>
          <w:rFonts w:hint="eastAsia" w:ascii="方正仿宋_GB18030" w:hAnsi="方正仿宋_GB18030" w:eastAsia="方正仿宋_GB18030" w:cs="方正仿宋_GB18030"/>
          <w:spacing w:val="0"/>
          <w:kern w:val="2"/>
          <w:sz w:val="32"/>
          <w:szCs w:val="32"/>
          <w:lang w:val="en-US" w:eastAsia="zh-CN" w:bidi="ar-SA"/>
        </w:rPr>
        <w:t>在境外应对涉及著作权、地理标志等其他类型知识产权的纠纷，并在立案或收到相关法律文书后向国家海外知识产权纠纷应对指导中心湘潭分中心备案的；</w:t>
      </w:r>
    </w:p>
    <w:p w14:paraId="22B46323">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方正仿宋_GB18030" w:hAnsi="方正仿宋_GB18030" w:eastAsia="方正仿宋_GB18030" w:cs="方正仿宋_GB18030"/>
          <w:spacing w:val="0"/>
          <w:kern w:val="0"/>
          <w:sz w:val="32"/>
          <w:szCs w:val="32"/>
          <w:lang w:val="en-US" w:eastAsia="zh-CN" w:bidi="ar-SA"/>
        </w:rPr>
      </w:pPr>
      <w:r>
        <w:rPr>
          <w:rFonts w:hint="eastAsia" w:ascii="方正仿宋_GB18030" w:hAnsi="方正仿宋_GB18030" w:eastAsia="方正仿宋_GB18030" w:cs="方正仿宋_GB18030"/>
          <w:spacing w:val="0"/>
          <w:kern w:val="0"/>
          <w:sz w:val="32"/>
          <w:szCs w:val="32"/>
          <w:lang w:val="en-US" w:eastAsia="zh-CN" w:bidi="ar-SA"/>
        </w:rPr>
        <w:t>6.开展海外知识产权保护专题研究，研究成果为企业"走出去"提供决策参考和技术支撑的。</w:t>
      </w:r>
    </w:p>
    <w:p w14:paraId="0AB137CD">
      <w:pPr>
        <w:keepNext w:val="0"/>
        <w:keepLines w:val="0"/>
        <w:pageBreakBefore w:val="0"/>
        <w:kinsoku/>
        <w:overflowPunct/>
        <w:topLinePunct w:val="0"/>
        <w:autoSpaceDE/>
        <w:autoSpaceDN/>
        <w:bidi w:val="0"/>
        <w:spacing w:line="576" w:lineRule="exact"/>
        <w:jc w:val="left"/>
        <w:textAlignment w:val="auto"/>
        <w:rPr>
          <w:rFonts w:ascii="黑体" w:hAnsi="黑体" w:eastAsia="黑体" w:cs="Times New Roman"/>
          <w:spacing w:val="0"/>
          <w:kern w:val="0"/>
          <w:sz w:val="32"/>
          <w:szCs w:val="32"/>
        </w:rPr>
      </w:pPr>
    </w:p>
    <w:p w14:paraId="6C16EAAE">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auto"/>
    <w:pitch w:val="default"/>
    <w:sig w:usb0="00000000" w:usb1="00000000" w:usb2="00082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方正仿宋_GB18030">
    <w:altName w:val="仿宋"/>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AB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2025-11-12T00:15:01Z</dcterms:created>
  <dc:creator>Administrator</dc:creator>
  <cp:lastModifiedBy>Administrator</cp:lastModifiedBy>
  <dcterms:modified xsi:type="dcterms:W3CDTF">2025-11-12T00:15:16Z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eyJoZGlkIjoiMDgxNzE2YTNkOTgzZTA0Zjg5NjZlYTIwZjg1NTEyNzYifQ==</vt:lpwstr>
  </property>
  <property fmtid="{D5CDD505-2E9C-101B-9397-08002B2CF9AE}" pid="4" name="ICV">
    <vt:lpwstr>1D3CA114E3DF4C5EB87D9167F8BCC780_12</vt:lpwstr>
  </property>
</Properties>
</file>